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5FD96" w14:textId="77777777" w:rsidR="003A5C46" w:rsidRDefault="003A5C46">
      <w:pPr>
        <w:pStyle w:val="BodyText"/>
        <w:rPr>
          <w:sz w:val="20"/>
        </w:rPr>
      </w:pPr>
    </w:p>
    <w:p w14:paraId="60AE3C48" w14:textId="448B2807" w:rsidR="003A5C46" w:rsidRDefault="00EE0ACE">
      <w:pPr>
        <w:spacing w:before="249"/>
        <w:ind w:left="1494"/>
        <w:rPr>
          <w:b/>
          <w:sz w:val="32"/>
        </w:rPr>
      </w:pPr>
      <w:r>
        <w:rPr>
          <w:b/>
          <w:sz w:val="32"/>
        </w:rPr>
        <w:t>The Top 10 Corporate and Securities Articles of 20</w:t>
      </w:r>
      <w:r w:rsidR="005B31AD">
        <w:rPr>
          <w:b/>
          <w:sz w:val="32"/>
        </w:rPr>
        <w:t>20</w:t>
      </w:r>
    </w:p>
    <w:p w14:paraId="174B795D" w14:textId="7D9EF424" w:rsidR="003A5C46" w:rsidRDefault="00EE0ACE">
      <w:pPr>
        <w:pStyle w:val="BodyText"/>
        <w:spacing w:before="249"/>
        <w:ind w:left="100" w:right="115"/>
      </w:pPr>
      <w:r>
        <w:t xml:space="preserve">The </w:t>
      </w:r>
      <w:r>
        <w:rPr>
          <w:i/>
        </w:rPr>
        <w:t xml:space="preserve">Corporate Practice Commentator </w:t>
      </w:r>
      <w:r>
        <w:t>is pleased to announce the results of its twenty-</w:t>
      </w:r>
      <w:r w:rsidR="003B0336">
        <w:t>seventh</w:t>
      </w:r>
      <w:r>
        <w:t xml:space="preserve"> annual poll to select the ten best corporate and securities articles. Teachers in corporate and securities law were asked to select the best corporate and securities articles from a list of articles published in legal journals during 20</w:t>
      </w:r>
      <w:r w:rsidR="00B00B78">
        <w:t>20</w:t>
      </w:r>
      <w:r>
        <w:t xml:space="preserve">. </w:t>
      </w:r>
      <w:r w:rsidR="0055101E">
        <w:t>More than 320</w:t>
      </w:r>
      <w:r>
        <w:t xml:space="preserve"> articles were on this year’s list. Because of the vagaries of publication, indexing, and mailing, some articles published in 20</w:t>
      </w:r>
      <w:r w:rsidR="0055101E">
        <w:t>20</w:t>
      </w:r>
      <w:r>
        <w:t xml:space="preserve"> have a 201</w:t>
      </w:r>
      <w:r w:rsidR="0055101E">
        <w:t>9</w:t>
      </w:r>
      <w:r>
        <w:t xml:space="preserve"> date, and not all articles containing a 20</w:t>
      </w:r>
      <w:r w:rsidR="0055101E">
        <w:t>20</w:t>
      </w:r>
      <w:r>
        <w:t xml:space="preserve"> date were published in time to be included in this year’s list.</w:t>
      </w:r>
      <w:r w:rsidR="0055101E">
        <w:t xml:space="preserve"> </w:t>
      </w:r>
      <w:r w:rsidR="0055101E" w:rsidRPr="0055101E">
        <w:t>Because of ties there are twelve articles on this year's list</w:t>
      </w:r>
      <w:r w:rsidR="00153A39">
        <w:t>.</w:t>
      </w:r>
    </w:p>
    <w:p w14:paraId="457BAB25" w14:textId="77777777" w:rsidR="003A5C46" w:rsidRDefault="003A5C46">
      <w:pPr>
        <w:pStyle w:val="BodyText"/>
        <w:rPr>
          <w:sz w:val="26"/>
        </w:rPr>
      </w:pPr>
    </w:p>
    <w:p w14:paraId="3461736C" w14:textId="77777777" w:rsidR="003A5C46" w:rsidRDefault="003A5C46">
      <w:pPr>
        <w:pStyle w:val="BodyText"/>
        <w:spacing w:before="5"/>
        <w:rPr>
          <w:sz w:val="32"/>
        </w:rPr>
      </w:pPr>
    </w:p>
    <w:p w14:paraId="1995CCEE" w14:textId="77777777" w:rsidR="003A5C46" w:rsidRDefault="00EE0ACE">
      <w:pPr>
        <w:pStyle w:val="BodyText"/>
        <w:ind w:left="100"/>
      </w:pPr>
      <w:r>
        <w:t>The articles, listed in alphabetical order of the initial author, are:</w:t>
      </w:r>
    </w:p>
    <w:p w14:paraId="22E38002" w14:textId="77777777" w:rsidR="003A5C46" w:rsidRDefault="003A5C46">
      <w:pPr>
        <w:pStyle w:val="BodyText"/>
        <w:rPr>
          <w:sz w:val="26"/>
        </w:rPr>
      </w:pPr>
    </w:p>
    <w:p w14:paraId="05AAAF85" w14:textId="03ABDB75" w:rsidR="001B287A" w:rsidRPr="005A69D9" w:rsidRDefault="001B287A" w:rsidP="005A69D9">
      <w:pPr>
        <w:pStyle w:val="BodyText"/>
      </w:pPr>
      <w:r w:rsidRPr="005A69D9">
        <w:rPr>
          <w:b/>
        </w:rPr>
        <w:t xml:space="preserve">Bartlett, Robert; </w:t>
      </w:r>
      <w:proofErr w:type="spellStart"/>
      <w:r w:rsidRPr="005A69D9">
        <w:rPr>
          <w:b/>
        </w:rPr>
        <w:t>Partnoy</w:t>
      </w:r>
      <w:proofErr w:type="spellEnd"/>
      <w:r w:rsidRPr="005A69D9">
        <w:rPr>
          <w:b/>
        </w:rPr>
        <w:t>, Frank</w:t>
      </w:r>
      <w:r w:rsidRPr="005A69D9">
        <w:t xml:space="preserve">. The Misuse of Tobin's q.  73 </w:t>
      </w:r>
      <w:proofErr w:type="spellStart"/>
      <w:r w:rsidRPr="005A69D9">
        <w:t>Vand</w:t>
      </w:r>
      <w:proofErr w:type="spellEnd"/>
      <w:r w:rsidRPr="005A69D9">
        <w:t>. L. Rev. 353-424 (2020).</w:t>
      </w:r>
    </w:p>
    <w:p w14:paraId="61097D82" w14:textId="77777777" w:rsidR="001B287A" w:rsidRPr="005A69D9" w:rsidRDefault="001B287A" w:rsidP="005A69D9">
      <w:pPr>
        <w:pStyle w:val="BodyText"/>
      </w:pPr>
    </w:p>
    <w:p w14:paraId="001C426F" w14:textId="7B86F682" w:rsidR="001B287A" w:rsidRPr="005A69D9" w:rsidRDefault="001B287A" w:rsidP="005A69D9">
      <w:pPr>
        <w:pStyle w:val="BodyText"/>
      </w:pPr>
      <w:proofErr w:type="spellStart"/>
      <w:r w:rsidRPr="005A69D9">
        <w:rPr>
          <w:b/>
        </w:rPr>
        <w:t>Barzuza</w:t>
      </w:r>
      <w:proofErr w:type="spellEnd"/>
      <w:r w:rsidRPr="005A69D9">
        <w:rPr>
          <w:b/>
        </w:rPr>
        <w:t>, Michal; Curtis; Q; Webber DH</w:t>
      </w:r>
      <w:r w:rsidRPr="005A69D9">
        <w:t>. Shareholder Value(s): Index Fund ESG Activism and the New Millennial Corporate Governance.  93 S. Cal. L. Rev. 1243-1322 (2020).</w:t>
      </w:r>
    </w:p>
    <w:p w14:paraId="6F1B53F0" w14:textId="77777777" w:rsidR="001B287A" w:rsidRPr="005A69D9" w:rsidRDefault="001B287A" w:rsidP="005A69D9">
      <w:pPr>
        <w:pStyle w:val="BodyText"/>
      </w:pPr>
    </w:p>
    <w:p w14:paraId="572D49E1" w14:textId="38317ABD" w:rsidR="001B287A" w:rsidRPr="005A69D9" w:rsidRDefault="001B287A" w:rsidP="005A69D9">
      <w:pPr>
        <w:pStyle w:val="BodyText"/>
      </w:pPr>
      <w:r w:rsidRPr="005A69D9">
        <w:rPr>
          <w:b/>
        </w:rPr>
        <w:t>Cain, Matthew D.; Griffith, Sean J.; Jackson, Jr., Robert J.; and Solomon, Steven Davidoff</w:t>
      </w:r>
      <w:r w:rsidRPr="005A69D9">
        <w:t>. Does Revlon Matter? An Empirical and Theoretical Study. 108 Cal. L. Rev. 1683</w:t>
      </w:r>
      <w:r w:rsidR="00B00B78" w:rsidRPr="005A69D9">
        <w:t>-1731</w:t>
      </w:r>
      <w:r w:rsidRPr="005A69D9">
        <w:t xml:space="preserve"> (2020).</w:t>
      </w:r>
    </w:p>
    <w:p w14:paraId="13651572" w14:textId="77777777" w:rsidR="001B287A" w:rsidRPr="005A69D9" w:rsidRDefault="001B287A" w:rsidP="005A69D9">
      <w:pPr>
        <w:pStyle w:val="BodyText"/>
      </w:pPr>
    </w:p>
    <w:p w14:paraId="7F78275C" w14:textId="59DEF329" w:rsidR="001B287A" w:rsidRPr="005A69D9" w:rsidRDefault="001B287A" w:rsidP="005A69D9">
      <w:pPr>
        <w:pStyle w:val="BodyText"/>
      </w:pPr>
      <w:proofErr w:type="spellStart"/>
      <w:r w:rsidRPr="005A69D9">
        <w:rPr>
          <w:b/>
        </w:rPr>
        <w:t>Ellias</w:t>
      </w:r>
      <w:proofErr w:type="spellEnd"/>
      <w:r w:rsidRPr="005A69D9">
        <w:rPr>
          <w:b/>
        </w:rPr>
        <w:t xml:space="preserve">, Jared A.; Stark, Robert J.  </w:t>
      </w:r>
      <w:r w:rsidRPr="005A69D9">
        <w:rPr>
          <w:bCs/>
        </w:rPr>
        <w:t>Bankruptcy Hardball</w:t>
      </w:r>
      <w:r w:rsidRPr="005A69D9">
        <w:t>. 108 Cal. L. Rev. 745-788 (2020).</w:t>
      </w:r>
    </w:p>
    <w:p w14:paraId="71CB0393" w14:textId="77777777" w:rsidR="00B00B78" w:rsidRPr="005A69D9" w:rsidRDefault="00B00B78" w:rsidP="005A69D9">
      <w:pPr>
        <w:pStyle w:val="BodyText"/>
      </w:pPr>
    </w:p>
    <w:p w14:paraId="3F8AEEDB" w14:textId="27F46579" w:rsidR="001B287A" w:rsidRPr="005A69D9" w:rsidRDefault="001B287A" w:rsidP="005A69D9">
      <w:pPr>
        <w:pStyle w:val="BodyText"/>
      </w:pPr>
      <w:r w:rsidRPr="005A69D9">
        <w:rPr>
          <w:b/>
          <w:bCs/>
        </w:rPr>
        <w:t>Griffith, Sean J</w:t>
      </w:r>
      <w:r w:rsidRPr="005A69D9">
        <w:t>.  Deal Insurance: Representation and Warranty Insurance in Mergers and Acquisitions.  104 Minn. L. Rev. 1839-1920 (2020).</w:t>
      </w:r>
    </w:p>
    <w:p w14:paraId="65E58921" w14:textId="77777777" w:rsidR="001B287A" w:rsidRPr="005A69D9" w:rsidRDefault="001B287A" w:rsidP="005A69D9">
      <w:pPr>
        <w:pStyle w:val="BodyText"/>
      </w:pPr>
    </w:p>
    <w:p w14:paraId="4FFA19E7" w14:textId="6511EB91" w:rsidR="001B287A" w:rsidRPr="005A69D9" w:rsidRDefault="001B287A" w:rsidP="005A69D9">
      <w:pPr>
        <w:pStyle w:val="BodyText"/>
      </w:pPr>
      <w:r w:rsidRPr="005A69D9">
        <w:rPr>
          <w:b/>
        </w:rPr>
        <w:t>Hemphill, C. Scott; Kahan, Marcel</w:t>
      </w:r>
      <w:r w:rsidRPr="005A69D9">
        <w:t>. The Strategies of Anticompetitive Common Ownership.  129 Yale L. J. 1392- 1459 (2020).</w:t>
      </w:r>
    </w:p>
    <w:p w14:paraId="4502F117" w14:textId="3A10802C" w:rsidR="001B287A" w:rsidRPr="005A69D9" w:rsidRDefault="001B287A" w:rsidP="005A69D9">
      <w:pPr>
        <w:pStyle w:val="BodyText"/>
      </w:pPr>
    </w:p>
    <w:p w14:paraId="170FD901" w14:textId="286F23F8" w:rsidR="005A69D9" w:rsidRPr="005A69D9" w:rsidRDefault="005A69D9" w:rsidP="005A69D9">
      <w:pPr>
        <w:widowControl/>
        <w:autoSpaceDE/>
        <w:autoSpaceDN/>
        <w:rPr>
          <w:color w:val="000000"/>
          <w:sz w:val="24"/>
          <w:szCs w:val="24"/>
        </w:rPr>
      </w:pPr>
      <w:r w:rsidRPr="005A69D9">
        <w:rPr>
          <w:b/>
          <w:bCs/>
          <w:color w:val="000000"/>
          <w:sz w:val="24"/>
          <w:szCs w:val="24"/>
        </w:rPr>
        <w:t>Kahan, Marcel; Rock, Edward B.</w:t>
      </w:r>
      <w:r w:rsidRPr="005A69D9">
        <w:rPr>
          <w:color w:val="000000"/>
          <w:sz w:val="24"/>
          <w:szCs w:val="24"/>
        </w:rPr>
        <w:t xml:space="preserve"> Index Funds and Corporate Governance: Let Shareholders be Shareholders</w:t>
      </w:r>
      <w:r w:rsidRPr="005A69D9">
        <w:rPr>
          <w:i/>
          <w:iCs/>
          <w:color w:val="000000"/>
          <w:sz w:val="24"/>
          <w:szCs w:val="24"/>
        </w:rPr>
        <w:t xml:space="preserve">.  </w:t>
      </w:r>
      <w:r w:rsidRPr="005A69D9">
        <w:rPr>
          <w:color w:val="000000"/>
          <w:sz w:val="24"/>
          <w:szCs w:val="24"/>
        </w:rPr>
        <w:t>100 B.U. L. Rev. 1753 (2020).</w:t>
      </w:r>
    </w:p>
    <w:p w14:paraId="2611E1CA" w14:textId="77777777" w:rsidR="005A69D9" w:rsidRPr="005A69D9" w:rsidRDefault="005A69D9" w:rsidP="005A69D9">
      <w:pPr>
        <w:pStyle w:val="BodyText"/>
      </w:pPr>
    </w:p>
    <w:p w14:paraId="48C0A4A9" w14:textId="73959E8C" w:rsidR="001B287A" w:rsidRPr="005A69D9" w:rsidRDefault="001B287A" w:rsidP="005A69D9">
      <w:pPr>
        <w:pStyle w:val="BodyText"/>
      </w:pPr>
      <w:r w:rsidRPr="005A69D9">
        <w:rPr>
          <w:b/>
        </w:rPr>
        <w:t>Lipton, Ann M</w:t>
      </w:r>
      <w:r w:rsidRPr="005A69D9">
        <w:t>. Not Everything Is about Investors: The Case for Mandatory Stakeholder Disclosure.  37 Yale J. on Reg. 499- 572 (2020).</w:t>
      </w:r>
    </w:p>
    <w:p w14:paraId="05CC019B" w14:textId="0D2D369F" w:rsidR="001B287A" w:rsidRPr="005A69D9" w:rsidRDefault="001B287A" w:rsidP="005A69D9">
      <w:pPr>
        <w:pStyle w:val="BodyText"/>
      </w:pPr>
    </w:p>
    <w:p w14:paraId="586B4CC2" w14:textId="4DF05C57" w:rsidR="005A69D9" w:rsidRPr="005A69D9" w:rsidRDefault="005A69D9" w:rsidP="00623A82">
      <w:pPr>
        <w:widowControl/>
        <w:autoSpaceDE/>
        <w:autoSpaceDN/>
        <w:rPr>
          <w:color w:val="000000"/>
          <w:sz w:val="24"/>
          <w:szCs w:val="24"/>
        </w:rPr>
      </w:pPr>
      <w:proofErr w:type="spellStart"/>
      <w:r w:rsidRPr="005A69D9">
        <w:rPr>
          <w:b/>
          <w:bCs/>
          <w:color w:val="000000"/>
          <w:sz w:val="24"/>
          <w:szCs w:val="24"/>
        </w:rPr>
        <w:t>Nili</w:t>
      </w:r>
      <w:proofErr w:type="spellEnd"/>
      <w:r w:rsidRPr="005A69D9">
        <w:rPr>
          <w:b/>
          <w:bCs/>
          <w:color w:val="000000"/>
          <w:sz w:val="24"/>
          <w:szCs w:val="24"/>
        </w:rPr>
        <w:t xml:space="preserve">, </w:t>
      </w:r>
      <w:proofErr w:type="spellStart"/>
      <w:r w:rsidRPr="005A69D9">
        <w:rPr>
          <w:b/>
          <w:bCs/>
          <w:color w:val="000000"/>
          <w:sz w:val="24"/>
          <w:szCs w:val="24"/>
        </w:rPr>
        <w:t>Yaron</w:t>
      </w:r>
      <w:proofErr w:type="spellEnd"/>
      <w:r w:rsidRPr="005A69D9">
        <w:rPr>
          <w:b/>
          <w:bCs/>
          <w:color w:val="000000"/>
          <w:sz w:val="24"/>
          <w:szCs w:val="24"/>
        </w:rPr>
        <w:t>; Hwang, Cathy.</w:t>
      </w:r>
      <w:r w:rsidRPr="005A69D9">
        <w:rPr>
          <w:color w:val="000000"/>
          <w:sz w:val="24"/>
          <w:szCs w:val="24"/>
        </w:rPr>
        <w:t xml:space="preserve"> Shadow Governance</w:t>
      </w:r>
      <w:r w:rsidRPr="005A69D9">
        <w:rPr>
          <w:i/>
          <w:iCs/>
          <w:color w:val="000000"/>
          <w:sz w:val="24"/>
          <w:szCs w:val="24"/>
        </w:rPr>
        <w:t xml:space="preserve">. </w:t>
      </w:r>
      <w:r w:rsidRPr="005A69D9">
        <w:rPr>
          <w:color w:val="000000"/>
          <w:sz w:val="24"/>
          <w:szCs w:val="24"/>
        </w:rPr>
        <w:t>108 Calif. L. Rev. 1097-1146 (2020).</w:t>
      </w:r>
    </w:p>
    <w:p w14:paraId="1BD513F5" w14:textId="77777777" w:rsidR="005A69D9" w:rsidRPr="005A69D9" w:rsidRDefault="005A69D9" w:rsidP="005A69D9">
      <w:pPr>
        <w:pStyle w:val="BodyText"/>
      </w:pPr>
    </w:p>
    <w:p w14:paraId="2179B6E5" w14:textId="59233EEA" w:rsidR="001B287A" w:rsidRPr="005A69D9" w:rsidRDefault="001B287A" w:rsidP="005A69D9">
      <w:pPr>
        <w:pStyle w:val="BodyText"/>
      </w:pPr>
      <w:proofErr w:type="spellStart"/>
      <w:r w:rsidRPr="005A69D9">
        <w:rPr>
          <w:b/>
        </w:rPr>
        <w:t>Pollman</w:t>
      </w:r>
      <w:proofErr w:type="spellEnd"/>
      <w:r w:rsidRPr="005A69D9">
        <w:rPr>
          <w:b/>
        </w:rPr>
        <w:t>, Elizabeth</w:t>
      </w:r>
      <w:r w:rsidRPr="005A69D9">
        <w:t>. Private Company Lies. 109 Geo. L.J. 353</w:t>
      </w:r>
      <w:r w:rsidR="00B00B78" w:rsidRPr="005A69D9">
        <w:t>-403</w:t>
      </w:r>
      <w:r w:rsidRPr="005A69D9">
        <w:t xml:space="preserve"> (2020).</w:t>
      </w:r>
    </w:p>
    <w:p w14:paraId="370D5EA6" w14:textId="77777777" w:rsidR="001B287A" w:rsidRPr="005A69D9" w:rsidRDefault="001B287A" w:rsidP="005A69D9">
      <w:pPr>
        <w:pStyle w:val="BodyText"/>
      </w:pPr>
    </w:p>
    <w:p w14:paraId="67E57C12" w14:textId="4EF2F647" w:rsidR="001B287A" w:rsidRPr="005A69D9" w:rsidRDefault="001B287A" w:rsidP="005A69D9">
      <w:pPr>
        <w:pStyle w:val="BodyText"/>
      </w:pPr>
      <w:r w:rsidRPr="005A69D9">
        <w:rPr>
          <w:b/>
        </w:rPr>
        <w:t xml:space="preserve">Subramanian, </w:t>
      </w:r>
      <w:proofErr w:type="spellStart"/>
      <w:r w:rsidRPr="005A69D9">
        <w:rPr>
          <w:b/>
        </w:rPr>
        <w:t>Guhan</w:t>
      </w:r>
      <w:proofErr w:type="spellEnd"/>
      <w:r w:rsidRPr="005A69D9">
        <w:rPr>
          <w:b/>
        </w:rPr>
        <w:t>; Zhao, Annie</w:t>
      </w:r>
      <w:r w:rsidRPr="005A69D9">
        <w:t xml:space="preserve">. Go-Shops Revisited. 133 Harv. L. Rev. 1215-1279 (2020). </w:t>
      </w:r>
    </w:p>
    <w:p w14:paraId="205BB3DE" w14:textId="77777777" w:rsidR="00B00B78" w:rsidRPr="005A69D9" w:rsidRDefault="00B00B78" w:rsidP="005A69D9">
      <w:pPr>
        <w:pStyle w:val="BodyText"/>
      </w:pPr>
    </w:p>
    <w:p w14:paraId="0CB29363" w14:textId="5D3E756E" w:rsidR="003A5C46" w:rsidRPr="005A69D9" w:rsidRDefault="001B287A" w:rsidP="005A69D9">
      <w:pPr>
        <w:pStyle w:val="BodyText"/>
      </w:pPr>
      <w:proofErr w:type="spellStart"/>
      <w:r w:rsidRPr="005A69D9">
        <w:rPr>
          <w:b/>
          <w:bCs/>
        </w:rPr>
        <w:t>Tuch</w:t>
      </w:r>
      <w:proofErr w:type="spellEnd"/>
      <w:r w:rsidRPr="005A69D9">
        <w:rPr>
          <w:b/>
          <w:bCs/>
        </w:rPr>
        <w:t>, Andrew F</w:t>
      </w:r>
      <w:r w:rsidRPr="005A69D9">
        <w:t>. Reassessing Self-Dealing: Between No Conflict and Fairness. 88 Fordham L. Rev. 939-998 (2019).</w:t>
      </w:r>
    </w:p>
    <w:sectPr w:rsidR="003A5C46" w:rsidRPr="005A69D9">
      <w:type w:val="continuous"/>
      <w:pgSz w:w="12240" w:h="15840"/>
      <w:pgMar w:top="1500" w:right="10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45F48" w14:textId="77777777" w:rsidR="00E27A5D" w:rsidRDefault="00E27A5D" w:rsidP="003B0336">
      <w:r>
        <w:separator/>
      </w:r>
    </w:p>
  </w:endnote>
  <w:endnote w:type="continuationSeparator" w:id="0">
    <w:p w14:paraId="74AC451F" w14:textId="77777777" w:rsidR="00E27A5D" w:rsidRDefault="00E27A5D" w:rsidP="003B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09108" w14:textId="77777777" w:rsidR="00E27A5D" w:rsidRDefault="00E27A5D" w:rsidP="003B0336">
      <w:r>
        <w:separator/>
      </w:r>
    </w:p>
  </w:footnote>
  <w:footnote w:type="continuationSeparator" w:id="0">
    <w:p w14:paraId="12D2F08E" w14:textId="77777777" w:rsidR="00E27A5D" w:rsidRDefault="00E27A5D" w:rsidP="003B0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84527"/>
    <w:multiLevelType w:val="hybridMultilevel"/>
    <w:tmpl w:val="5C325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1sDCwMLO0tDAytLRQ0lEKTi0uzszPAykwrAUATvHkmiwAAAA="/>
  </w:docVars>
  <w:rsids>
    <w:rsidRoot w:val="003A5C46"/>
    <w:rsid w:val="00057BCC"/>
    <w:rsid w:val="00153A39"/>
    <w:rsid w:val="001B287A"/>
    <w:rsid w:val="0026240A"/>
    <w:rsid w:val="002E53F0"/>
    <w:rsid w:val="003A5C46"/>
    <w:rsid w:val="003B0336"/>
    <w:rsid w:val="003F529E"/>
    <w:rsid w:val="0041350E"/>
    <w:rsid w:val="0055101E"/>
    <w:rsid w:val="005A69D9"/>
    <w:rsid w:val="005B31AD"/>
    <w:rsid w:val="00623A82"/>
    <w:rsid w:val="008C4EC1"/>
    <w:rsid w:val="00925345"/>
    <w:rsid w:val="00A32F68"/>
    <w:rsid w:val="00B00B78"/>
    <w:rsid w:val="00E27A5D"/>
    <w:rsid w:val="00E50434"/>
    <w:rsid w:val="00EE0ACE"/>
    <w:rsid w:val="00F7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3EB13"/>
  <w15:docId w15:val="{C9716FEB-185E-44E0-BC69-26CBC3AE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0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336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B0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336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stewarj1</dc:creator>
  <cp:lastModifiedBy>Robert B Thompson</cp:lastModifiedBy>
  <cp:revision>3</cp:revision>
  <dcterms:created xsi:type="dcterms:W3CDTF">2021-03-20T18:35:00Z</dcterms:created>
  <dcterms:modified xsi:type="dcterms:W3CDTF">2021-03-20T18:39:00Z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2020-03-13T00:00:00Z</vt:filetime>
  </property>
</Properties>
</file>