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89" w:rsidRDefault="00764889" w:rsidP="00764889">
      <w:pPr>
        <w:pStyle w:val="Title"/>
        <w:rPr>
          <w:sz w:val="32"/>
        </w:rPr>
      </w:pPr>
      <w:r>
        <w:rPr>
          <w:sz w:val="32"/>
        </w:rPr>
        <w:t>The Top 10 Corporate and Securities Articles of 20</w:t>
      </w:r>
      <w:r w:rsidR="001A3308">
        <w:rPr>
          <w:sz w:val="32"/>
        </w:rPr>
        <w:t>1</w:t>
      </w:r>
      <w:r w:rsidR="00C35306">
        <w:rPr>
          <w:sz w:val="32"/>
        </w:rPr>
        <w:t>7</w:t>
      </w:r>
    </w:p>
    <w:p w:rsidR="00764889" w:rsidRDefault="00764889" w:rsidP="00764889">
      <w:pPr>
        <w:jc w:val="center"/>
        <w:rPr>
          <w:b/>
          <w:bCs/>
          <w:sz w:val="22"/>
        </w:rPr>
      </w:pPr>
    </w:p>
    <w:p w:rsidR="00764889" w:rsidRPr="00764889" w:rsidRDefault="00764889" w:rsidP="00764889">
      <w:pPr>
        <w:pStyle w:val="BodyText"/>
      </w:pPr>
      <w:r w:rsidRPr="00764889">
        <w:t xml:space="preserve">The </w:t>
      </w:r>
      <w:r w:rsidRPr="00764889">
        <w:rPr>
          <w:i/>
          <w:iCs/>
        </w:rPr>
        <w:t>Corporate Practice Commentator</w:t>
      </w:r>
      <w:r w:rsidRPr="00764889">
        <w:t xml:space="preserve"> is pleased to announce the results of its </w:t>
      </w:r>
      <w:r w:rsidR="00F670B1">
        <w:t>twenty-</w:t>
      </w:r>
      <w:r w:rsidR="003E345B">
        <w:t>f</w:t>
      </w:r>
      <w:bookmarkStart w:id="0" w:name="_GoBack"/>
      <w:bookmarkEnd w:id="0"/>
      <w:r w:rsidR="00F4580D">
        <w:t>ourth</w:t>
      </w:r>
      <w:r w:rsidR="00F670B1">
        <w:t xml:space="preserve"> </w:t>
      </w:r>
      <w:r w:rsidRPr="00764889">
        <w:t xml:space="preserve">annual poll to select the ten best corporate and securities articles. </w:t>
      </w:r>
      <w:r>
        <w:t xml:space="preserve"> </w:t>
      </w:r>
      <w:r w:rsidRPr="00764889">
        <w:t>Teachers in corporate and securities law were asked to select the best corporate and securities articles from a list of articles published and index</w:t>
      </w:r>
      <w:r>
        <w:t xml:space="preserve">ed in legal journals during </w:t>
      </w:r>
      <w:r w:rsidR="00064D02">
        <w:t>201</w:t>
      </w:r>
      <w:r w:rsidR="003E345B">
        <w:t>7</w:t>
      </w:r>
      <w:r w:rsidRPr="00764889">
        <w:t xml:space="preserve">. </w:t>
      </w:r>
      <w:r w:rsidR="00B66EB4">
        <w:t xml:space="preserve"> More than </w:t>
      </w:r>
      <w:r w:rsidR="0077048C">
        <w:t>565</w:t>
      </w:r>
      <w:r w:rsidR="006943A5" w:rsidRPr="003D6BDA">
        <w:t xml:space="preserve"> </w:t>
      </w:r>
      <w:r w:rsidR="00B66EB4" w:rsidRPr="003D6BDA">
        <w:t>articles</w:t>
      </w:r>
      <w:r w:rsidR="00B66EB4">
        <w:t xml:space="preserve"> were on this year’s list. </w:t>
      </w:r>
      <w:r w:rsidRPr="00764889">
        <w:t xml:space="preserve"> Because of the vagaries of publication, indexing, and mailing,</w:t>
      </w:r>
      <w:r>
        <w:t xml:space="preserve"> some articles published in </w:t>
      </w:r>
      <w:r w:rsidR="00064D02">
        <w:t>201</w:t>
      </w:r>
      <w:r w:rsidR="00175B58">
        <w:t>7</w:t>
      </w:r>
      <w:r w:rsidR="006943A5" w:rsidRPr="00764889">
        <w:t xml:space="preserve"> </w:t>
      </w:r>
      <w:r w:rsidRPr="00764889">
        <w:t xml:space="preserve">have a </w:t>
      </w:r>
      <w:r w:rsidR="00E95BAC">
        <w:t>201</w:t>
      </w:r>
      <w:r w:rsidR="00175B58">
        <w:t>6</w:t>
      </w:r>
      <w:r w:rsidR="006943A5" w:rsidRPr="00764889">
        <w:t xml:space="preserve"> </w:t>
      </w:r>
      <w:r w:rsidRPr="00764889">
        <w:t xml:space="preserve">date, and not all articles containing a </w:t>
      </w:r>
      <w:r w:rsidR="00E95BAC">
        <w:t>201</w:t>
      </w:r>
      <w:r w:rsidR="003E345B">
        <w:t>7</w:t>
      </w:r>
      <w:r w:rsidR="006943A5" w:rsidRPr="00764889">
        <w:t xml:space="preserve"> </w:t>
      </w:r>
      <w:r w:rsidRPr="00764889">
        <w:t>date were published and indexed in time to be included in this year’s list.</w:t>
      </w:r>
    </w:p>
    <w:p w:rsidR="00764889" w:rsidRDefault="00764889" w:rsidP="00764889">
      <w:pPr>
        <w:tabs>
          <w:tab w:val="left" w:pos="720"/>
        </w:tabs>
      </w:pPr>
    </w:p>
    <w:p w:rsidR="00001367" w:rsidRPr="00764889" w:rsidRDefault="00001367" w:rsidP="00764889">
      <w:pPr>
        <w:tabs>
          <w:tab w:val="left" w:pos="720"/>
        </w:tabs>
      </w:pPr>
    </w:p>
    <w:p w:rsidR="002D216F" w:rsidRDefault="00764889" w:rsidP="002D216F">
      <w:pPr>
        <w:tabs>
          <w:tab w:val="left" w:pos="720"/>
        </w:tabs>
      </w:pPr>
      <w:r w:rsidRPr="00764889">
        <w:t>The articles, listed in alphabetical order of the initial author, are:</w:t>
      </w:r>
    </w:p>
    <w:p w:rsidR="00001367" w:rsidRDefault="00001367" w:rsidP="002D216F">
      <w:pPr>
        <w:tabs>
          <w:tab w:val="left" w:pos="720"/>
        </w:tabs>
      </w:pPr>
    </w:p>
    <w:p w:rsidR="006D1352" w:rsidRDefault="006D1352" w:rsidP="006D1352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  <w:r w:rsidRPr="003C7179">
        <w:rPr>
          <w:rFonts w:eastAsia="Calibri"/>
          <w:b/>
          <w:color w:val="000000"/>
          <w:sz w:val="23"/>
          <w:szCs w:val="23"/>
        </w:rPr>
        <w:t>Choi</w:t>
      </w:r>
      <w:r>
        <w:rPr>
          <w:rFonts w:eastAsia="Calibri"/>
          <w:b/>
          <w:color w:val="000000"/>
          <w:sz w:val="23"/>
          <w:szCs w:val="23"/>
        </w:rPr>
        <w:t>,</w:t>
      </w:r>
      <w:r w:rsidRPr="00BE4F58">
        <w:t xml:space="preserve"> </w:t>
      </w:r>
      <w:r w:rsidRPr="00BE4F58">
        <w:rPr>
          <w:rFonts w:eastAsia="Calibri"/>
          <w:b/>
          <w:color w:val="000000"/>
          <w:sz w:val="23"/>
          <w:szCs w:val="23"/>
        </w:rPr>
        <w:t>Stephen J.</w:t>
      </w:r>
      <w:r w:rsidRPr="003C7179">
        <w:rPr>
          <w:rFonts w:eastAsia="Calibri"/>
          <w:b/>
          <w:color w:val="000000"/>
          <w:sz w:val="23"/>
          <w:szCs w:val="23"/>
        </w:rPr>
        <w:t xml:space="preserve">, Jill </w:t>
      </w:r>
      <w:proofErr w:type="spellStart"/>
      <w:r w:rsidRPr="003C7179">
        <w:rPr>
          <w:rFonts w:eastAsia="Calibri"/>
          <w:b/>
          <w:color w:val="000000"/>
          <w:sz w:val="23"/>
          <w:szCs w:val="23"/>
        </w:rPr>
        <w:t>F</w:t>
      </w:r>
      <w:r>
        <w:rPr>
          <w:rFonts w:eastAsia="Calibri"/>
          <w:b/>
          <w:color w:val="000000"/>
          <w:sz w:val="23"/>
          <w:szCs w:val="23"/>
        </w:rPr>
        <w:t>isch</w:t>
      </w:r>
      <w:proofErr w:type="spellEnd"/>
      <w:r>
        <w:rPr>
          <w:rFonts w:eastAsia="Calibri"/>
          <w:b/>
          <w:color w:val="000000"/>
          <w:sz w:val="23"/>
          <w:szCs w:val="23"/>
        </w:rPr>
        <w:t xml:space="preserve">, Marcel </w:t>
      </w:r>
      <w:proofErr w:type="spellStart"/>
      <w:r>
        <w:rPr>
          <w:rFonts w:eastAsia="Calibri"/>
          <w:b/>
          <w:color w:val="000000"/>
          <w:sz w:val="23"/>
          <w:szCs w:val="23"/>
        </w:rPr>
        <w:t>Kahan</w:t>
      </w:r>
      <w:proofErr w:type="spellEnd"/>
      <w:r>
        <w:rPr>
          <w:rFonts w:eastAsia="Calibri"/>
          <w:b/>
          <w:color w:val="000000"/>
          <w:sz w:val="23"/>
          <w:szCs w:val="23"/>
        </w:rPr>
        <w:t>, and Edward Rock</w:t>
      </w:r>
      <w:r w:rsidRPr="00E14D04">
        <w:rPr>
          <w:rFonts w:eastAsia="Calibri"/>
          <w:color w:val="000000"/>
          <w:sz w:val="23"/>
          <w:szCs w:val="23"/>
        </w:rPr>
        <w:t>.</w:t>
      </w:r>
      <w:r w:rsidRPr="003C7179">
        <w:rPr>
          <w:rFonts w:eastAsia="Calibri"/>
          <w:b/>
          <w:color w:val="000000"/>
          <w:sz w:val="23"/>
          <w:szCs w:val="23"/>
        </w:rPr>
        <w:t xml:space="preserve"> </w:t>
      </w:r>
      <w:r w:rsidRPr="00951E3D">
        <w:rPr>
          <w:rFonts w:eastAsia="Calibri"/>
          <w:color w:val="000000"/>
          <w:sz w:val="23"/>
          <w:szCs w:val="23"/>
        </w:rPr>
        <w:t xml:space="preserve">Does </w:t>
      </w:r>
      <w:r w:rsidR="002332DA">
        <w:rPr>
          <w:rFonts w:eastAsia="Calibri"/>
          <w:color w:val="000000"/>
          <w:sz w:val="23"/>
          <w:szCs w:val="23"/>
        </w:rPr>
        <w:t>M</w:t>
      </w:r>
      <w:r w:rsidRPr="00951E3D">
        <w:rPr>
          <w:rFonts w:eastAsia="Calibri"/>
          <w:color w:val="000000"/>
          <w:sz w:val="23"/>
          <w:szCs w:val="23"/>
        </w:rPr>
        <w:t xml:space="preserve">ajority </w:t>
      </w:r>
      <w:r w:rsidR="002332DA">
        <w:rPr>
          <w:rFonts w:eastAsia="Calibri"/>
          <w:color w:val="000000"/>
          <w:sz w:val="23"/>
          <w:szCs w:val="23"/>
        </w:rPr>
        <w:t>V</w:t>
      </w:r>
      <w:r w:rsidRPr="00951E3D">
        <w:rPr>
          <w:rFonts w:eastAsia="Calibri"/>
          <w:color w:val="000000"/>
          <w:sz w:val="23"/>
          <w:szCs w:val="23"/>
        </w:rPr>
        <w:t xml:space="preserve">oting </w:t>
      </w:r>
      <w:r w:rsidR="002332DA">
        <w:rPr>
          <w:rFonts w:eastAsia="Calibri"/>
          <w:color w:val="000000"/>
          <w:sz w:val="23"/>
          <w:szCs w:val="23"/>
        </w:rPr>
        <w:t>I</w:t>
      </w:r>
      <w:r w:rsidRPr="00951E3D">
        <w:rPr>
          <w:rFonts w:eastAsia="Calibri"/>
          <w:color w:val="000000"/>
          <w:sz w:val="23"/>
          <w:szCs w:val="23"/>
        </w:rPr>
        <w:t xml:space="preserve">mprove </w:t>
      </w:r>
      <w:r w:rsidR="002332DA">
        <w:rPr>
          <w:rFonts w:eastAsia="Calibri"/>
          <w:color w:val="000000"/>
          <w:sz w:val="23"/>
          <w:szCs w:val="23"/>
        </w:rPr>
        <w:t>B</w:t>
      </w:r>
      <w:r w:rsidRPr="00951E3D">
        <w:rPr>
          <w:rFonts w:eastAsia="Calibri"/>
          <w:color w:val="000000"/>
          <w:sz w:val="23"/>
          <w:szCs w:val="23"/>
        </w:rPr>
        <w:t xml:space="preserve">oard </w:t>
      </w:r>
      <w:r w:rsidR="002332DA">
        <w:rPr>
          <w:rFonts w:eastAsia="Calibri"/>
          <w:color w:val="000000"/>
          <w:sz w:val="23"/>
          <w:szCs w:val="23"/>
        </w:rPr>
        <w:t>A</w:t>
      </w:r>
      <w:r w:rsidRPr="00951E3D">
        <w:rPr>
          <w:rFonts w:eastAsia="Calibri"/>
          <w:color w:val="000000"/>
          <w:sz w:val="23"/>
          <w:szCs w:val="23"/>
        </w:rPr>
        <w:t>ccountability?</w:t>
      </w:r>
      <w:r w:rsidRPr="003C7179">
        <w:rPr>
          <w:rFonts w:eastAsia="Calibri"/>
          <w:b/>
          <w:color w:val="000000"/>
          <w:sz w:val="23"/>
          <w:szCs w:val="23"/>
        </w:rPr>
        <w:t xml:space="preserve"> </w:t>
      </w:r>
      <w:r w:rsidRPr="00951E3D">
        <w:rPr>
          <w:rFonts w:eastAsia="Calibri"/>
          <w:smallCaps/>
          <w:color w:val="000000"/>
          <w:sz w:val="23"/>
          <w:szCs w:val="23"/>
        </w:rPr>
        <w:t>83 U. Chi. L. Rev.</w:t>
      </w:r>
      <w:r w:rsidRPr="003C7179">
        <w:rPr>
          <w:rFonts w:eastAsia="Calibri"/>
          <w:b/>
          <w:color w:val="000000"/>
          <w:sz w:val="23"/>
          <w:szCs w:val="23"/>
        </w:rPr>
        <w:t xml:space="preserve"> </w:t>
      </w:r>
      <w:r w:rsidRPr="00951E3D">
        <w:rPr>
          <w:rFonts w:eastAsia="Calibri"/>
          <w:color w:val="000000"/>
          <w:sz w:val="23"/>
          <w:szCs w:val="23"/>
        </w:rPr>
        <w:t>1119-1180 (2016).</w:t>
      </w:r>
    </w:p>
    <w:p w:rsidR="006D1352" w:rsidRDefault="006D1352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6D1352" w:rsidRDefault="006D1352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  <w:r w:rsidRPr="00E14D04">
        <w:rPr>
          <w:rFonts w:eastAsia="Calibri"/>
          <w:b/>
          <w:color w:val="000000"/>
          <w:sz w:val="23"/>
          <w:szCs w:val="23"/>
        </w:rPr>
        <w:t>Cox</w:t>
      </w:r>
      <w:r>
        <w:rPr>
          <w:rFonts w:eastAsia="Calibri"/>
          <w:b/>
          <w:color w:val="000000"/>
          <w:sz w:val="23"/>
          <w:szCs w:val="23"/>
        </w:rPr>
        <w:t>,</w:t>
      </w:r>
      <w:r w:rsidRPr="00BE4F58">
        <w:rPr>
          <w:rFonts w:eastAsia="Calibri"/>
          <w:b/>
          <w:color w:val="000000"/>
          <w:sz w:val="23"/>
          <w:szCs w:val="23"/>
        </w:rPr>
        <w:t xml:space="preserve"> </w:t>
      </w:r>
      <w:r w:rsidRPr="00E14D04">
        <w:rPr>
          <w:rFonts w:eastAsia="Calibri"/>
          <w:b/>
          <w:color w:val="000000"/>
          <w:sz w:val="23"/>
          <w:szCs w:val="23"/>
        </w:rPr>
        <w:t xml:space="preserve">James D., </w:t>
      </w:r>
      <w:proofErr w:type="spellStart"/>
      <w:r w:rsidRPr="00E14D04">
        <w:rPr>
          <w:rFonts w:eastAsia="Calibri"/>
          <w:b/>
          <w:color w:val="000000"/>
          <w:sz w:val="23"/>
          <w:szCs w:val="23"/>
        </w:rPr>
        <w:t>Fabrizio</w:t>
      </w:r>
      <w:proofErr w:type="spellEnd"/>
      <w:r w:rsidRPr="00E14D04">
        <w:rPr>
          <w:rFonts w:eastAsia="Calibri"/>
          <w:b/>
          <w:color w:val="000000"/>
          <w:sz w:val="23"/>
          <w:szCs w:val="23"/>
        </w:rPr>
        <w:t xml:space="preserve"> </w:t>
      </w:r>
      <w:proofErr w:type="spellStart"/>
      <w:r w:rsidRPr="00E14D04">
        <w:rPr>
          <w:rFonts w:eastAsia="Calibri"/>
          <w:b/>
          <w:color w:val="000000"/>
          <w:sz w:val="23"/>
          <w:szCs w:val="23"/>
        </w:rPr>
        <w:t>Ferri</w:t>
      </w:r>
      <w:proofErr w:type="spellEnd"/>
      <w:r w:rsidRPr="00E14D04">
        <w:rPr>
          <w:rFonts w:eastAsia="Calibri"/>
          <w:b/>
          <w:color w:val="000000"/>
          <w:sz w:val="23"/>
          <w:szCs w:val="23"/>
        </w:rPr>
        <w:t xml:space="preserve">, Colleen </w:t>
      </w:r>
      <w:proofErr w:type="spellStart"/>
      <w:r w:rsidRPr="00E14D04">
        <w:rPr>
          <w:rFonts w:eastAsia="Calibri"/>
          <w:b/>
          <w:color w:val="000000"/>
          <w:sz w:val="23"/>
          <w:szCs w:val="23"/>
        </w:rPr>
        <w:t>Honigsberg</w:t>
      </w:r>
      <w:proofErr w:type="spellEnd"/>
      <w:r w:rsidRPr="00E14D04">
        <w:rPr>
          <w:rFonts w:eastAsia="Calibri"/>
          <w:b/>
          <w:color w:val="000000"/>
          <w:sz w:val="23"/>
          <w:szCs w:val="23"/>
        </w:rPr>
        <w:t xml:space="preserve">, </w:t>
      </w:r>
      <w:r>
        <w:rPr>
          <w:rFonts w:eastAsia="Calibri"/>
          <w:b/>
          <w:color w:val="000000"/>
          <w:sz w:val="23"/>
          <w:szCs w:val="23"/>
        </w:rPr>
        <w:t xml:space="preserve">and </w:t>
      </w:r>
      <w:r w:rsidRPr="00E14D04">
        <w:rPr>
          <w:rFonts w:eastAsia="Calibri"/>
          <w:b/>
          <w:color w:val="000000"/>
          <w:sz w:val="23"/>
          <w:szCs w:val="23"/>
        </w:rPr>
        <w:t>Randall S. Thomas</w:t>
      </w:r>
      <w:r w:rsidRPr="00E14D04">
        <w:rPr>
          <w:rFonts w:eastAsia="Calibri"/>
          <w:color w:val="000000"/>
          <w:sz w:val="23"/>
          <w:szCs w:val="23"/>
        </w:rPr>
        <w:t xml:space="preserve">. Quieting the </w:t>
      </w:r>
      <w:r w:rsidR="002332DA">
        <w:rPr>
          <w:rFonts w:eastAsia="Calibri"/>
          <w:color w:val="000000"/>
          <w:sz w:val="23"/>
          <w:szCs w:val="23"/>
        </w:rPr>
        <w:t>S</w:t>
      </w:r>
      <w:r w:rsidRPr="00E14D04">
        <w:rPr>
          <w:rFonts w:eastAsia="Calibri"/>
          <w:color w:val="000000"/>
          <w:sz w:val="23"/>
          <w:szCs w:val="23"/>
        </w:rPr>
        <w:t xml:space="preserve">hareholders' </w:t>
      </w:r>
      <w:r w:rsidR="002332DA">
        <w:rPr>
          <w:rFonts w:eastAsia="Calibri"/>
          <w:color w:val="000000"/>
          <w:sz w:val="23"/>
          <w:szCs w:val="23"/>
        </w:rPr>
        <w:t>V</w:t>
      </w:r>
      <w:r w:rsidRPr="00E14D04">
        <w:rPr>
          <w:rFonts w:eastAsia="Calibri"/>
          <w:color w:val="000000"/>
          <w:sz w:val="23"/>
          <w:szCs w:val="23"/>
        </w:rPr>
        <w:t xml:space="preserve">oice: </w:t>
      </w:r>
      <w:r w:rsidR="002332DA">
        <w:rPr>
          <w:rFonts w:eastAsia="Calibri"/>
          <w:color w:val="000000"/>
          <w:sz w:val="23"/>
          <w:szCs w:val="23"/>
        </w:rPr>
        <w:t>E</w:t>
      </w:r>
      <w:r w:rsidRPr="00E14D04">
        <w:rPr>
          <w:rFonts w:eastAsia="Calibri"/>
          <w:color w:val="000000"/>
          <w:sz w:val="23"/>
          <w:szCs w:val="23"/>
        </w:rPr>
        <w:t xml:space="preserve">mpirical </w:t>
      </w:r>
      <w:r w:rsidR="002332DA">
        <w:rPr>
          <w:rFonts w:eastAsia="Calibri"/>
          <w:color w:val="000000"/>
          <w:sz w:val="23"/>
          <w:szCs w:val="23"/>
        </w:rPr>
        <w:t>E</w:t>
      </w:r>
      <w:r w:rsidRPr="00E14D04">
        <w:rPr>
          <w:rFonts w:eastAsia="Calibri"/>
          <w:color w:val="000000"/>
          <w:sz w:val="23"/>
          <w:szCs w:val="23"/>
        </w:rPr>
        <w:t xml:space="preserve">vidence of </w:t>
      </w:r>
      <w:r w:rsidR="002332DA">
        <w:rPr>
          <w:rFonts w:eastAsia="Calibri"/>
          <w:color w:val="000000"/>
          <w:sz w:val="23"/>
          <w:szCs w:val="23"/>
        </w:rPr>
        <w:t>P</w:t>
      </w:r>
      <w:r w:rsidRPr="00E14D04">
        <w:rPr>
          <w:rFonts w:eastAsia="Calibri"/>
          <w:color w:val="000000"/>
          <w:sz w:val="23"/>
          <w:szCs w:val="23"/>
        </w:rPr>
        <w:t xml:space="preserve">ervasive </w:t>
      </w:r>
      <w:r w:rsidR="002332DA">
        <w:rPr>
          <w:rFonts w:eastAsia="Calibri"/>
          <w:color w:val="000000"/>
          <w:sz w:val="23"/>
          <w:szCs w:val="23"/>
        </w:rPr>
        <w:t>B</w:t>
      </w:r>
      <w:r w:rsidRPr="00E14D04">
        <w:rPr>
          <w:rFonts w:eastAsia="Calibri"/>
          <w:color w:val="000000"/>
          <w:sz w:val="23"/>
          <w:szCs w:val="23"/>
        </w:rPr>
        <w:t xml:space="preserve">undling in </w:t>
      </w:r>
      <w:r w:rsidR="002332DA">
        <w:rPr>
          <w:rFonts w:eastAsia="Calibri"/>
          <w:color w:val="000000"/>
          <w:sz w:val="23"/>
          <w:szCs w:val="23"/>
        </w:rPr>
        <w:t>P</w:t>
      </w:r>
      <w:r w:rsidRPr="00E14D04">
        <w:rPr>
          <w:rFonts w:eastAsia="Calibri"/>
          <w:color w:val="000000"/>
          <w:sz w:val="23"/>
          <w:szCs w:val="23"/>
        </w:rPr>
        <w:t xml:space="preserve">roxy </w:t>
      </w:r>
      <w:r w:rsidR="002332DA">
        <w:rPr>
          <w:rFonts w:eastAsia="Calibri"/>
          <w:color w:val="000000"/>
          <w:sz w:val="23"/>
          <w:szCs w:val="23"/>
        </w:rPr>
        <w:t>S</w:t>
      </w:r>
      <w:r w:rsidRPr="00E14D04">
        <w:rPr>
          <w:rFonts w:eastAsia="Calibri"/>
          <w:color w:val="000000"/>
          <w:sz w:val="23"/>
          <w:szCs w:val="23"/>
        </w:rPr>
        <w:t xml:space="preserve">olicitations. </w:t>
      </w:r>
      <w:r w:rsidRPr="00E14D04">
        <w:rPr>
          <w:rFonts w:eastAsia="Calibri"/>
          <w:smallCaps/>
          <w:color w:val="000000"/>
          <w:sz w:val="23"/>
          <w:szCs w:val="23"/>
        </w:rPr>
        <w:t>89 S. Cal. L. Rev</w:t>
      </w:r>
      <w:r w:rsidRPr="00E14D04">
        <w:rPr>
          <w:rFonts w:eastAsia="Calibri"/>
          <w:color w:val="000000"/>
          <w:sz w:val="23"/>
          <w:szCs w:val="23"/>
        </w:rPr>
        <w:t>. 1175-1238 (2016).</w:t>
      </w:r>
    </w:p>
    <w:p w:rsidR="006D1352" w:rsidRDefault="006D1352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6D1352" w:rsidRDefault="006D1352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  <w:r w:rsidRPr="00951E3D">
        <w:rPr>
          <w:rFonts w:eastAsia="Calibri"/>
          <w:b/>
          <w:color w:val="000000"/>
          <w:sz w:val="23"/>
          <w:szCs w:val="23"/>
        </w:rPr>
        <w:t>Gelpern</w:t>
      </w:r>
      <w:r>
        <w:rPr>
          <w:rFonts w:eastAsia="Calibri"/>
          <w:b/>
          <w:color w:val="000000"/>
          <w:sz w:val="23"/>
          <w:szCs w:val="23"/>
        </w:rPr>
        <w:t>,</w:t>
      </w:r>
      <w:r w:rsidRPr="00BE4F58">
        <w:rPr>
          <w:rFonts w:eastAsia="Calibri"/>
          <w:b/>
          <w:color w:val="000000"/>
          <w:sz w:val="23"/>
          <w:szCs w:val="23"/>
        </w:rPr>
        <w:t xml:space="preserve"> </w:t>
      </w:r>
      <w:r w:rsidRPr="00951E3D">
        <w:rPr>
          <w:rFonts w:eastAsia="Calibri"/>
          <w:b/>
          <w:color w:val="000000"/>
          <w:sz w:val="23"/>
          <w:szCs w:val="23"/>
        </w:rPr>
        <w:t xml:space="preserve">Anna and Erik F. </w:t>
      </w:r>
      <w:proofErr w:type="spellStart"/>
      <w:r w:rsidRPr="00951E3D">
        <w:rPr>
          <w:rFonts w:eastAsia="Calibri"/>
          <w:b/>
          <w:color w:val="000000"/>
          <w:sz w:val="23"/>
          <w:szCs w:val="23"/>
        </w:rPr>
        <w:t>Gerding</w:t>
      </w:r>
      <w:proofErr w:type="spellEnd"/>
      <w:r w:rsidRPr="00E14D04">
        <w:rPr>
          <w:rFonts w:eastAsia="Calibri"/>
          <w:color w:val="000000"/>
          <w:sz w:val="23"/>
          <w:szCs w:val="23"/>
        </w:rPr>
        <w:t>.</w:t>
      </w:r>
      <w:r w:rsidRPr="00951E3D">
        <w:rPr>
          <w:rFonts w:eastAsia="Calibri"/>
          <w:color w:val="000000"/>
          <w:sz w:val="23"/>
          <w:szCs w:val="23"/>
        </w:rPr>
        <w:t xml:space="preserve"> Inside </w:t>
      </w:r>
      <w:r w:rsidR="002332DA">
        <w:rPr>
          <w:rFonts w:eastAsia="Calibri"/>
          <w:color w:val="000000"/>
          <w:sz w:val="23"/>
          <w:szCs w:val="23"/>
        </w:rPr>
        <w:t>S</w:t>
      </w:r>
      <w:r w:rsidRPr="00951E3D">
        <w:rPr>
          <w:rFonts w:eastAsia="Calibri"/>
          <w:color w:val="000000"/>
          <w:sz w:val="23"/>
          <w:szCs w:val="23"/>
        </w:rPr>
        <w:t xml:space="preserve">afe </w:t>
      </w:r>
      <w:r w:rsidR="002332DA">
        <w:rPr>
          <w:rFonts w:eastAsia="Calibri"/>
          <w:color w:val="000000"/>
          <w:sz w:val="23"/>
          <w:szCs w:val="23"/>
        </w:rPr>
        <w:t>A</w:t>
      </w:r>
      <w:r w:rsidRPr="00951E3D">
        <w:rPr>
          <w:rFonts w:eastAsia="Calibri"/>
          <w:color w:val="000000"/>
          <w:sz w:val="23"/>
          <w:szCs w:val="23"/>
        </w:rPr>
        <w:t>ssets.</w:t>
      </w:r>
      <w:r w:rsidRPr="00951E3D">
        <w:rPr>
          <w:rFonts w:eastAsia="Calibri"/>
          <w:b/>
          <w:color w:val="000000"/>
          <w:sz w:val="23"/>
          <w:szCs w:val="23"/>
        </w:rPr>
        <w:t xml:space="preserve"> </w:t>
      </w:r>
      <w:r w:rsidRPr="00951E3D">
        <w:rPr>
          <w:rFonts w:eastAsia="Calibri"/>
          <w:smallCaps/>
          <w:color w:val="000000"/>
          <w:sz w:val="23"/>
          <w:szCs w:val="23"/>
        </w:rPr>
        <w:t>33 Yale J. on Reg.</w:t>
      </w:r>
      <w:r w:rsidRPr="00951E3D">
        <w:rPr>
          <w:rFonts w:eastAsia="Calibri"/>
          <w:b/>
          <w:color w:val="000000"/>
          <w:sz w:val="23"/>
          <w:szCs w:val="23"/>
        </w:rPr>
        <w:t xml:space="preserve"> </w:t>
      </w:r>
      <w:r w:rsidRPr="00951E3D">
        <w:rPr>
          <w:rFonts w:eastAsia="Calibri"/>
          <w:color w:val="000000"/>
          <w:sz w:val="23"/>
          <w:szCs w:val="23"/>
        </w:rPr>
        <w:t>363-421 (2016).</w:t>
      </w:r>
    </w:p>
    <w:p w:rsidR="006D1352" w:rsidRDefault="006D1352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3C7179" w:rsidRDefault="006D1352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  <w:r w:rsidRPr="00A0500A">
        <w:rPr>
          <w:rFonts w:eastAsia="Calibri"/>
          <w:b/>
          <w:color w:val="000000"/>
          <w:sz w:val="23"/>
          <w:szCs w:val="23"/>
        </w:rPr>
        <w:t>Goshen</w:t>
      </w:r>
      <w:r>
        <w:rPr>
          <w:rFonts w:eastAsia="Calibri"/>
          <w:b/>
          <w:color w:val="000000"/>
          <w:sz w:val="23"/>
          <w:szCs w:val="23"/>
        </w:rPr>
        <w:t>,</w:t>
      </w:r>
      <w:r w:rsidRPr="00BE4F58">
        <w:rPr>
          <w:rFonts w:eastAsia="Calibri"/>
          <w:b/>
          <w:color w:val="000000"/>
          <w:sz w:val="23"/>
          <w:szCs w:val="23"/>
        </w:rPr>
        <w:t xml:space="preserve"> </w:t>
      </w:r>
      <w:r w:rsidRPr="00A0500A">
        <w:rPr>
          <w:rFonts w:eastAsia="Calibri"/>
          <w:b/>
          <w:color w:val="000000"/>
          <w:sz w:val="23"/>
          <w:szCs w:val="23"/>
        </w:rPr>
        <w:t>Zohar</w:t>
      </w:r>
      <w:r w:rsidR="002332DA">
        <w:rPr>
          <w:rFonts w:eastAsia="Calibri"/>
          <w:b/>
          <w:color w:val="000000"/>
          <w:sz w:val="23"/>
          <w:szCs w:val="23"/>
        </w:rPr>
        <w:t xml:space="preserve"> and</w:t>
      </w:r>
      <w:r w:rsidRPr="00A0500A">
        <w:rPr>
          <w:rFonts w:eastAsia="Calibri"/>
          <w:b/>
          <w:color w:val="000000"/>
          <w:sz w:val="23"/>
          <w:szCs w:val="23"/>
        </w:rPr>
        <w:t xml:space="preserve"> Richard Squire</w:t>
      </w:r>
      <w:r w:rsidRPr="00A0500A">
        <w:rPr>
          <w:rFonts w:eastAsia="Calibri"/>
          <w:color w:val="000000"/>
          <w:sz w:val="23"/>
          <w:szCs w:val="23"/>
        </w:rPr>
        <w:t xml:space="preserve">. Principal </w:t>
      </w:r>
      <w:r w:rsidR="002332DA">
        <w:rPr>
          <w:rFonts w:eastAsia="Calibri"/>
          <w:color w:val="000000"/>
          <w:sz w:val="23"/>
          <w:szCs w:val="23"/>
        </w:rPr>
        <w:t>C</w:t>
      </w:r>
      <w:r w:rsidRPr="00A0500A">
        <w:rPr>
          <w:rFonts w:eastAsia="Calibri"/>
          <w:color w:val="000000"/>
          <w:sz w:val="23"/>
          <w:szCs w:val="23"/>
        </w:rPr>
        <w:t xml:space="preserve">osts: </w:t>
      </w:r>
      <w:r w:rsidR="002332DA">
        <w:rPr>
          <w:rFonts w:eastAsia="Calibri"/>
          <w:color w:val="000000"/>
          <w:sz w:val="23"/>
          <w:szCs w:val="23"/>
        </w:rPr>
        <w:t>A</w:t>
      </w:r>
      <w:r w:rsidRPr="00A0500A">
        <w:rPr>
          <w:rFonts w:eastAsia="Calibri"/>
          <w:color w:val="000000"/>
          <w:sz w:val="23"/>
          <w:szCs w:val="23"/>
        </w:rPr>
        <w:t xml:space="preserve"> </w:t>
      </w:r>
      <w:r w:rsidR="002332DA">
        <w:rPr>
          <w:rFonts w:eastAsia="Calibri"/>
          <w:color w:val="000000"/>
          <w:sz w:val="23"/>
          <w:szCs w:val="23"/>
        </w:rPr>
        <w:t>N</w:t>
      </w:r>
      <w:r w:rsidRPr="00A0500A">
        <w:rPr>
          <w:rFonts w:eastAsia="Calibri"/>
          <w:color w:val="000000"/>
          <w:sz w:val="23"/>
          <w:szCs w:val="23"/>
        </w:rPr>
        <w:t xml:space="preserve">ew </w:t>
      </w:r>
      <w:r w:rsidR="002332DA">
        <w:rPr>
          <w:rFonts w:eastAsia="Calibri"/>
          <w:color w:val="000000"/>
          <w:sz w:val="23"/>
          <w:szCs w:val="23"/>
        </w:rPr>
        <w:t>T</w:t>
      </w:r>
      <w:r w:rsidRPr="00A0500A">
        <w:rPr>
          <w:rFonts w:eastAsia="Calibri"/>
          <w:color w:val="000000"/>
          <w:sz w:val="23"/>
          <w:szCs w:val="23"/>
        </w:rPr>
        <w:t xml:space="preserve">heory for </w:t>
      </w:r>
      <w:r w:rsidR="002332DA">
        <w:rPr>
          <w:rFonts w:eastAsia="Calibri"/>
          <w:color w:val="000000"/>
          <w:sz w:val="23"/>
          <w:szCs w:val="23"/>
        </w:rPr>
        <w:t>C</w:t>
      </w:r>
      <w:r w:rsidRPr="00A0500A">
        <w:rPr>
          <w:rFonts w:eastAsia="Calibri"/>
          <w:color w:val="000000"/>
          <w:sz w:val="23"/>
          <w:szCs w:val="23"/>
        </w:rPr>
        <w:t xml:space="preserve">orporate </w:t>
      </w:r>
      <w:r w:rsidR="002332DA">
        <w:rPr>
          <w:rFonts w:eastAsia="Calibri"/>
          <w:color w:val="000000"/>
          <w:sz w:val="23"/>
          <w:szCs w:val="23"/>
        </w:rPr>
        <w:t xml:space="preserve">Law </w:t>
      </w:r>
      <w:r w:rsidRPr="00A0500A">
        <w:rPr>
          <w:rFonts w:eastAsia="Calibri"/>
          <w:color w:val="000000"/>
          <w:sz w:val="23"/>
          <w:szCs w:val="23"/>
        </w:rPr>
        <w:t xml:space="preserve">and </w:t>
      </w:r>
      <w:r w:rsidR="002332DA">
        <w:rPr>
          <w:rFonts w:eastAsia="Calibri"/>
          <w:color w:val="000000"/>
          <w:sz w:val="23"/>
          <w:szCs w:val="23"/>
        </w:rPr>
        <w:t>G</w:t>
      </w:r>
      <w:r w:rsidRPr="00A0500A">
        <w:rPr>
          <w:rFonts w:eastAsia="Calibri"/>
          <w:color w:val="000000"/>
          <w:sz w:val="23"/>
          <w:szCs w:val="23"/>
        </w:rPr>
        <w:t xml:space="preserve">overnance. 117 </w:t>
      </w:r>
      <w:r w:rsidRPr="00A0500A">
        <w:rPr>
          <w:rFonts w:eastAsia="Calibri"/>
          <w:smallCaps/>
          <w:color w:val="000000"/>
          <w:sz w:val="23"/>
          <w:szCs w:val="23"/>
        </w:rPr>
        <w:t>Colum. L. Rev</w:t>
      </w:r>
      <w:r w:rsidRPr="00A0500A">
        <w:rPr>
          <w:rFonts w:eastAsia="Calibri"/>
          <w:color w:val="000000"/>
          <w:sz w:val="23"/>
          <w:szCs w:val="23"/>
        </w:rPr>
        <w:t>. 767-829 (2017).</w:t>
      </w:r>
    </w:p>
    <w:p w:rsidR="006D1352" w:rsidRDefault="006D1352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6D1352" w:rsidRPr="003C7179" w:rsidRDefault="006D1352" w:rsidP="006D135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>
        <w:rPr>
          <w:rFonts w:eastAsia="Calibri"/>
          <w:b/>
          <w:color w:val="000000"/>
          <w:sz w:val="23"/>
          <w:szCs w:val="23"/>
        </w:rPr>
        <w:t xml:space="preserve">Hwang, </w:t>
      </w:r>
      <w:r w:rsidRPr="003C7179">
        <w:rPr>
          <w:rFonts w:eastAsia="Calibri"/>
          <w:b/>
          <w:color w:val="000000"/>
          <w:sz w:val="23"/>
          <w:szCs w:val="23"/>
        </w:rPr>
        <w:t>Cathy</w:t>
      </w:r>
      <w:r w:rsidRPr="00E14D04">
        <w:rPr>
          <w:rFonts w:eastAsia="Calibri"/>
          <w:color w:val="000000"/>
          <w:sz w:val="23"/>
          <w:szCs w:val="23"/>
        </w:rPr>
        <w:t>.</w:t>
      </w:r>
      <w:r w:rsidRPr="003C7179">
        <w:rPr>
          <w:rFonts w:eastAsia="Calibri"/>
          <w:b/>
          <w:color w:val="000000"/>
          <w:sz w:val="23"/>
          <w:szCs w:val="23"/>
        </w:rPr>
        <w:t xml:space="preserve"> </w:t>
      </w:r>
      <w:r w:rsidRPr="003C7179">
        <w:rPr>
          <w:rFonts w:eastAsia="Calibri"/>
          <w:color w:val="000000"/>
          <w:sz w:val="23"/>
          <w:szCs w:val="23"/>
        </w:rPr>
        <w:t xml:space="preserve">Unbundled </w:t>
      </w:r>
      <w:r w:rsidR="002332DA">
        <w:rPr>
          <w:rFonts w:eastAsia="Calibri"/>
          <w:color w:val="000000"/>
          <w:sz w:val="23"/>
          <w:szCs w:val="23"/>
        </w:rPr>
        <w:t>B</w:t>
      </w:r>
      <w:r w:rsidRPr="003C7179">
        <w:rPr>
          <w:rFonts w:eastAsia="Calibri"/>
          <w:color w:val="000000"/>
          <w:sz w:val="23"/>
          <w:szCs w:val="23"/>
        </w:rPr>
        <w:t xml:space="preserve">argains: </w:t>
      </w:r>
      <w:r w:rsidR="002332DA">
        <w:rPr>
          <w:rFonts w:eastAsia="Calibri"/>
          <w:color w:val="000000"/>
          <w:sz w:val="23"/>
          <w:szCs w:val="23"/>
        </w:rPr>
        <w:t>M</w:t>
      </w:r>
      <w:r w:rsidRPr="003C7179">
        <w:rPr>
          <w:rFonts w:eastAsia="Calibri"/>
          <w:color w:val="000000"/>
          <w:sz w:val="23"/>
          <w:szCs w:val="23"/>
        </w:rPr>
        <w:t xml:space="preserve">ulti-agreement </w:t>
      </w:r>
      <w:proofErr w:type="spellStart"/>
      <w:r w:rsidR="002332DA">
        <w:rPr>
          <w:rFonts w:eastAsia="Calibri"/>
          <w:color w:val="000000"/>
          <w:sz w:val="23"/>
          <w:szCs w:val="23"/>
        </w:rPr>
        <w:t>D</w:t>
      </w:r>
      <w:r w:rsidRPr="003C7179">
        <w:rPr>
          <w:rFonts w:eastAsia="Calibri"/>
          <w:color w:val="000000"/>
          <w:sz w:val="23"/>
          <w:szCs w:val="23"/>
        </w:rPr>
        <w:t>ealmaking</w:t>
      </w:r>
      <w:proofErr w:type="spellEnd"/>
      <w:r w:rsidRPr="003C7179">
        <w:rPr>
          <w:rFonts w:eastAsia="Calibri"/>
          <w:color w:val="000000"/>
          <w:sz w:val="23"/>
          <w:szCs w:val="23"/>
        </w:rPr>
        <w:t xml:space="preserve"> in </w:t>
      </w:r>
      <w:r w:rsidR="002332DA">
        <w:rPr>
          <w:rFonts w:eastAsia="Calibri"/>
          <w:color w:val="000000"/>
          <w:sz w:val="23"/>
          <w:szCs w:val="23"/>
        </w:rPr>
        <w:t>C</w:t>
      </w:r>
      <w:r w:rsidRPr="003C7179">
        <w:rPr>
          <w:rFonts w:eastAsia="Calibri"/>
          <w:color w:val="000000"/>
          <w:sz w:val="23"/>
          <w:szCs w:val="23"/>
        </w:rPr>
        <w:t xml:space="preserve">omplex </w:t>
      </w:r>
      <w:r w:rsidR="002332DA">
        <w:rPr>
          <w:rFonts w:eastAsia="Calibri"/>
          <w:color w:val="000000"/>
          <w:sz w:val="23"/>
          <w:szCs w:val="23"/>
        </w:rPr>
        <w:t>M</w:t>
      </w:r>
      <w:r w:rsidRPr="003C7179">
        <w:rPr>
          <w:rFonts w:eastAsia="Calibri"/>
          <w:color w:val="000000"/>
          <w:sz w:val="23"/>
          <w:szCs w:val="23"/>
        </w:rPr>
        <w:t xml:space="preserve">ergers and </w:t>
      </w:r>
      <w:r w:rsidR="002332DA">
        <w:rPr>
          <w:rFonts w:eastAsia="Calibri"/>
          <w:color w:val="000000"/>
          <w:sz w:val="23"/>
          <w:szCs w:val="23"/>
        </w:rPr>
        <w:t>A</w:t>
      </w:r>
      <w:r w:rsidRPr="003C7179">
        <w:rPr>
          <w:rFonts w:eastAsia="Calibri"/>
          <w:color w:val="000000"/>
          <w:sz w:val="23"/>
          <w:szCs w:val="23"/>
        </w:rPr>
        <w:t>cquisitions.</w:t>
      </w:r>
      <w:r w:rsidRPr="003C7179">
        <w:rPr>
          <w:rFonts w:eastAsia="Calibri"/>
          <w:b/>
          <w:color w:val="000000"/>
          <w:sz w:val="23"/>
          <w:szCs w:val="23"/>
        </w:rPr>
        <w:t xml:space="preserve"> </w:t>
      </w:r>
      <w:r w:rsidRPr="003C7179">
        <w:rPr>
          <w:rFonts w:eastAsia="Calibri"/>
          <w:color w:val="000000"/>
          <w:sz w:val="23"/>
          <w:szCs w:val="23"/>
        </w:rPr>
        <w:t xml:space="preserve">164 </w:t>
      </w:r>
      <w:r w:rsidRPr="003C7179">
        <w:rPr>
          <w:rFonts w:eastAsia="Calibri"/>
          <w:smallCaps/>
          <w:color w:val="000000"/>
          <w:sz w:val="23"/>
          <w:szCs w:val="23"/>
        </w:rPr>
        <w:t>U. Pa. L. Rev.</w:t>
      </w:r>
      <w:r w:rsidRPr="003C7179">
        <w:rPr>
          <w:rFonts w:eastAsia="Calibri"/>
          <w:color w:val="000000"/>
          <w:sz w:val="23"/>
          <w:szCs w:val="23"/>
        </w:rPr>
        <w:t xml:space="preserve"> 1403-1451 (2016).</w:t>
      </w:r>
    </w:p>
    <w:p w:rsidR="006D1352" w:rsidRDefault="006D1352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6D1352" w:rsidRDefault="006D1352" w:rsidP="006D135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A0500A">
        <w:rPr>
          <w:rFonts w:eastAsia="Calibri"/>
          <w:b/>
          <w:color w:val="000000"/>
          <w:sz w:val="23"/>
          <w:szCs w:val="23"/>
        </w:rPr>
        <w:t>Judge</w:t>
      </w:r>
      <w:r>
        <w:rPr>
          <w:rFonts w:eastAsia="Calibri"/>
          <w:b/>
          <w:color w:val="000000"/>
          <w:sz w:val="23"/>
          <w:szCs w:val="23"/>
        </w:rPr>
        <w:t>,</w:t>
      </w:r>
      <w:r w:rsidRPr="00BE4F58">
        <w:rPr>
          <w:rFonts w:eastAsia="Calibri"/>
          <w:b/>
          <w:color w:val="000000"/>
          <w:sz w:val="23"/>
          <w:szCs w:val="23"/>
        </w:rPr>
        <w:t xml:space="preserve"> </w:t>
      </w:r>
      <w:r w:rsidRPr="00A0500A">
        <w:rPr>
          <w:rFonts w:eastAsia="Calibri"/>
          <w:b/>
          <w:color w:val="000000"/>
          <w:sz w:val="23"/>
          <w:szCs w:val="23"/>
        </w:rPr>
        <w:t>Kathryn</w:t>
      </w:r>
      <w:r w:rsidRPr="00A0500A">
        <w:rPr>
          <w:rFonts w:eastAsia="Calibri"/>
          <w:color w:val="000000"/>
          <w:sz w:val="23"/>
          <w:szCs w:val="23"/>
        </w:rPr>
        <w:t xml:space="preserve">. Information </w:t>
      </w:r>
      <w:r w:rsidR="002332DA">
        <w:rPr>
          <w:rFonts w:eastAsia="Calibri"/>
          <w:color w:val="000000"/>
          <w:sz w:val="23"/>
          <w:szCs w:val="23"/>
        </w:rPr>
        <w:t>G</w:t>
      </w:r>
      <w:r w:rsidRPr="00A0500A">
        <w:rPr>
          <w:rFonts w:eastAsia="Calibri"/>
          <w:color w:val="000000"/>
          <w:sz w:val="23"/>
          <w:szCs w:val="23"/>
        </w:rPr>
        <w:t xml:space="preserve">aps and </w:t>
      </w:r>
      <w:r w:rsidR="002332DA">
        <w:rPr>
          <w:rFonts w:eastAsia="Calibri"/>
          <w:color w:val="000000"/>
          <w:sz w:val="23"/>
          <w:szCs w:val="23"/>
        </w:rPr>
        <w:t>S</w:t>
      </w:r>
      <w:r w:rsidRPr="00A0500A">
        <w:rPr>
          <w:rFonts w:eastAsia="Calibri"/>
          <w:color w:val="000000"/>
          <w:sz w:val="23"/>
          <w:szCs w:val="23"/>
        </w:rPr>
        <w:t xml:space="preserve">hadow </w:t>
      </w:r>
      <w:r w:rsidR="002332DA">
        <w:rPr>
          <w:rFonts w:eastAsia="Calibri"/>
          <w:color w:val="000000"/>
          <w:sz w:val="23"/>
          <w:szCs w:val="23"/>
        </w:rPr>
        <w:t>B</w:t>
      </w:r>
      <w:r w:rsidRPr="00A0500A">
        <w:rPr>
          <w:rFonts w:eastAsia="Calibri"/>
          <w:color w:val="000000"/>
          <w:sz w:val="23"/>
          <w:szCs w:val="23"/>
        </w:rPr>
        <w:t xml:space="preserve">anking. </w:t>
      </w:r>
      <w:r w:rsidRPr="00A0500A">
        <w:rPr>
          <w:rFonts w:eastAsia="Calibri"/>
          <w:smallCaps/>
          <w:color w:val="000000"/>
          <w:sz w:val="23"/>
          <w:szCs w:val="23"/>
        </w:rPr>
        <w:t>103 Va. L. Rev</w:t>
      </w:r>
      <w:r>
        <w:rPr>
          <w:rFonts w:eastAsia="Calibri"/>
          <w:color w:val="000000"/>
          <w:sz w:val="23"/>
          <w:szCs w:val="23"/>
        </w:rPr>
        <w:t>. 411-480 (2017).</w:t>
      </w:r>
    </w:p>
    <w:p w:rsidR="006D1352" w:rsidRDefault="006D1352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6D1352" w:rsidRPr="0093261F" w:rsidRDefault="006D1352" w:rsidP="006D135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3261F">
        <w:rPr>
          <w:rFonts w:eastAsia="Calibri"/>
          <w:b/>
          <w:color w:val="000000"/>
          <w:sz w:val="23"/>
          <w:szCs w:val="23"/>
        </w:rPr>
        <w:t>Morley</w:t>
      </w:r>
      <w:r>
        <w:rPr>
          <w:rFonts w:eastAsia="Calibri"/>
          <w:b/>
          <w:color w:val="000000"/>
          <w:sz w:val="23"/>
          <w:szCs w:val="23"/>
        </w:rPr>
        <w:t xml:space="preserve">, </w:t>
      </w:r>
      <w:r w:rsidRPr="0093261F">
        <w:rPr>
          <w:rFonts w:eastAsia="Calibri"/>
          <w:b/>
          <w:color w:val="000000"/>
          <w:sz w:val="23"/>
          <w:szCs w:val="23"/>
        </w:rPr>
        <w:t>John</w:t>
      </w:r>
      <w:r w:rsidRPr="00E14D04">
        <w:rPr>
          <w:rFonts w:eastAsia="Calibri"/>
          <w:color w:val="000000"/>
          <w:sz w:val="23"/>
          <w:szCs w:val="23"/>
        </w:rPr>
        <w:t>.</w:t>
      </w:r>
      <w:r w:rsidRPr="0093261F">
        <w:rPr>
          <w:rFonts w:eastAsia="Calibri"/>
          <w:b/>
          <w:color w:val="000000"/>
          <w:sz w:val="23"/>
          <w:szCs w:val="23"/>
        </w:rPr>
        <w:t xml:space="preserve"> </w:t>
      </w:r>
      <w:r w:rsidRPr="0093261F">
        <w:rPr>
          <w:rFonts w:eastAsia="Calibri"/>
          <w:color w:val="000000"/>
          <w:sz w:val="23"/>
          <w:szCs w:val="23"/>
        </w:rPr>
        <w:t xml:space="preserve">The </w:t>
      </w:r>
      <w:r w:rsidR="002332DA">
        <w:rPr>
          <w:rFonts w:eastAsia="Calibri"/>
          <w:color w:val="000000"/>
          <w:sz w:val="23"/>
          <w:szCs w:val="23"/>
        </w:rPr>
        <w:t>C</w:t>
      </w:r>
      <w:r w:rsidRPr="0093261F">
        <w:rPr>
          <w:rFonts w:eastAsia="Calibri"/>
          <w:color w:val="000000"/>
          <w:sz w:val="23"/>
          <w:szCs w:val="23"/>
        </w:rPr>
        <w:t xml:space="preserve">ommon </w:t>
      </w:r>
      <w:r w:rsidR="002332DA">
        <w:rPr>
          <w:rFonts w:eastAsia="Calibri"/>
          <w:color w:val="000000"/>
          <w:sz w:val="23"/>
          <w:szCs w:val="23"/>
        </w:rPr>
        <w:t>L</w:t>
      </w:r>
      <w:r w:rsidRPr="0093261F">
        <w:rPr>
          <w:rFonts w:eastAsia="Calibri"/>
          <w:color w:val="000000"/>
          <w:sz w:val="23"/>
          <w:szCs w:val="23"/>
        </w:rPr>
        <w:t xml:space="preserve">aw </w:t>
      </w:r>
      <w:r w:rsidR="002332DA">
        <w:rPr>
          <w:rFonts w:eastAsia="Calibri"/>
          <w:color w:val="000000"/>
          <w:sz w:val="23"/>
          <w:szCs w:val="23"/>
        </w:rPr>
        <w:t>C</w:t>
      </w:r>
      <w:r w:rsidRPr="0093261F">
        <w:rPr>
          <w:rFonts w:eastAsia="Calibri"/>
          <w:color w:val="000000"/>
          <w:sz w:val="23"/>
          <w:szCs w:val="23"/>
        </w:rPr>
        <w:t xml:space="preserve">orporation: </w:t>
      </w:r>
      <w:r w:rsidR="002332DA">
        <w:rPr>
          <w:rFonts w:eastAsia="Calibri"/>
          <w:color w:val="000000"/>
          <w:sz w:val="23"/>
          <w:szCs w:val="23"/>
        </w:rPr>
        <w:t>T</w:t>
      </w:r>
      <w:r w:rsidRPr="0093261F">
        <w:rPr>
          <w:rFonts w:eastAsia="Calibri"/>
          <w:color w:val="000000"/>
          <w:sz w:val="23"/>
          <w:szCs w:val="23"/>
        </w:rPr>
        <w:t xml:space="preserve">he </w:t>
      </w:r>
      <w:r w:rsidR="002332DA">
        <w:rPr>
          <w:rFonts w:eastAsia="Calibri"/>
          <w:color w:val="000000"/>
          <w:sz w:val="23"/>
          <w:szCs w:val="23"/>
        </w:rPr>
        <w:t>P</w:t>
      </w:r>
      <w:r w:rsidRPr="0093261F">
        <w:rPr>
          <w:rFonts w:eastAsia="Calibri"/>
          <w:color w:val="000000"/>
          <w:sz w:val="23"/>
          <w:szCs w:val="23"/>
        </w:rPr>
        <w:t xml:space="preserve">ower of the </w:t>
      </w:r>
      <w:r w:rsidR="002332DA">
        <w:rPr>
          <w:rFonts w:eastAsia="Calibri"/>
          <w:color w:val="000000"/>
          <w:sz w:val="23"/>
          <w:szCs w:val="23"/>
        </w:rPr>
        <w:t>T</w:t>
      </w:r>
      <w:r w:rsidRPr="0093261F">
        <w:rPr>
          <w:rFonts w:eastAsia="Calibri"/>
          <w:color w:val="000000"/>
          <w:sz w:val="23"/>
          <w:szCs w:val="23"/>
        </w:rPr>
        <w:t xml:space="preserve">rust in Anglo-American </w:t>
      </w:r>
      <w:r w:rsidR="002332DA">
        <w:rPr>
          <w:rFonts w:eastAsia="Calibri"/>
          <w:color w:val="000000"/>
          <w:sz w:val="23"/>
          <w:szCs w:val="23"/>
        </w:rPr>
        <w:t>B</w:t>
      </w:r>
      <w:r w:rsidRPr="0093261F">
        <w:rPr>
          <w:rFonts w:eastAsia="Calibri"/>
          <w:color w:val="000000"/>
          <w:sz w:val="23"/>
          <w:szCs w:val="23"/>
        </w:rPr>
        <w:t xml:space="preserve">usiness </w:t>
      </w:r>
      <w:r w:rsidR="002332DA">
        <w:rPr>
          <w:rFonts w:eastAsia="Calibri"/>
          <w:color w:val="000000"/>
          <w:sz w:val="23"/>
          <w:szCs w:val="23"/>
        </w:rPr>
        <w:t>H</w:t>
      </w:r>
      <w:r w:rsidRPr="0093261F">
        <w:rPr>
          <w:rFonts w:eastAsia="Calibri"/>
          <w:color w:val="000000"/>
          <w:sz w:val="23"/>
          <w:szCs w:val="23"/>
        </w:rPr>
        <w:t xml:space="preserve">istory. 116 </w:t>
      </w:r>
      <w:r w:rsidRPr="0093261F">
        <w:rPr>
          <w:rFonts w:eastAsia="Calibri"/>
          <w:smallCaps/>
          <w:color w:val="000000"/>
          <w:sz w:val="23"/>
          <w:szCs w:val="23"/>
        </w:rPr>
        <w:t>Colum. L. Rev.</w:t>
      </w:r>
      <w:r w:rsidRPr="0093261F">
        <w:rPr>
          <w:rFonts w:eastAsia="Calibri"/>
          <w:color w:val="000000"/>
          <w:sz w:val="23"/>
          <w:szCs w:val="23"/>
        </w:rPr>
        <w:t xml:space="preserve"> 2145-2197 (2016). </w:t>
      </w:r>
    </w:p>
    <w:p w:rsidR="006D1352" w:rsidRDefault="006D1352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6D1352" w:rsidRDefault="006D1352" w:rsidP="006D135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proofErr w:type="spellStart"/>
      <w:r w:rsidRPr="00A0500A">
        <w:rPr>
          <w:rFonts w:eastAsia="Calibri"/>
          <w:b/>
          <w:color w:val="000000"/>
          <w:sz w:val="23"/>
          <w:szCs w:val="23"/>
        </w:rPr>
        <w:t>Pollman</w:t>
      </w:r>
      <w:proofErr w:type="spellEnd"/>
      <w:r>
        <w:rPr>
          <w:rFonts w:eastAsia="Calibri"/>
          <w:b/>
          <w:color w:val="000000"/>
          <w:sz w:val="23"/>
          <w:szCs w:val="23"/>
        </w:rPr>
        <w:t>,</w:t>
      </w:r>
      <w:r w:rsidRPr="00BE4F58">
        <w:rPr>
          <w:rFonts w:eastAsia="Calibri"/>
          <w:b/>
          <w:color w:val="000000"/>
          <w:sz w:val="23"/>
          <w:szCs w:val="23"/>
        </w:rPr>
        <w:t xml:space="preserve"> </w:t>
      </w:r>
      <w:r w:rsidRPr="00A0500A">
        <w:rPr>
          <w:rFonts w:eastAsia="Calibri"/>
          <w:b/>
          <w:color w:val="000000"/>
          <w:sz w:val="23"/>
          <w:szCs w:val="23"/>
        </w:rPr>
        <w:t>Elizabeth</w:t>
      </w:r>
      <w:r w:rsidR="002332DA">
        <w:rPr>
          <w:rFonts w:eastAsia="Calibri"/>
          <w:b/>
          <w:color w:val="000000"/>
          <w:sz w:val="23"/>
          <w:szCs w:val="23"/>
        </w:rPr>
        <w:t xml:space="preserve"> and</w:t>
      </w:r>
      <w:r w:rsidRPr="00A0500A">
        <w:rPr>
          <w:rFonts w:eastAsia="Calibri"/>
          <w:b/>
          <w:color w:val="000000"/>
          <w:sz w:val="23"/>
          <w:szCs w:val="23"/>
        </w:rPr>
        <w:t xml:space="preserve"> Jordan M. Barry</w:t>
      </w:r>
      <w:r w:rsidRPr="00A0500A">
        <w:rPr>
          <w:rFonts w:eastAsia="Calibri"/>
          <w:color w:val="000000"/>
          <w:sz w:val="23"/>
          <w:szCs w:val="23"/>
        </w:rPr>
        <w:t xml:space="preserve">. Regulatory </w:t>
      </w:r>
      <w:r w:rsidR="002332DA">
        <w:rPr>
          <w:rFonts w:eastAsia="Calibri"/>
          <w:color w:val="000000"/>
          <w:sz w:val="23"/>
          <w:szCs w:val="23"/>
        </w:rPr>
        <w:t>E</w:t>
      </w:r>
      <w:r w:rsidRPr="00A0500A">
        <w:rPr>
          <w:rFonts w:eastAsia="Calibri"/>
          <w:color w:val="000000"/>
          <w:sz w:val="23"/>
          <w:szCs w:val="23"/>
        </w:rPr>
        <w:t xml:space="preserve">ntrepreneurship. 90 </w:t>
      </w:r>
      <w:r w:rsidRPr="00A0500A">
        <w:rPr>
          <w:rFonts w:eastAsia="Calibri"/>
          <w:smallCaps/>
          <w:color w:val="000000"/>
          <w:sz w:val="23"/>
          <w:szCs w:val="23"/>
        </w:rPr>
        <w:t>S. Cal. L. Rev</w:t>
      </w:r>
      <w:r w:rsidRPr="00A0500A">
        <w:rPr>
          <w:rFonts w:eastAsia="Calibri"/>
          <w:color w:val="000000"/>
          <w:sz w:val="23"/>
          <w:szCs w:val="23"/>
        </w:rPr>
        <w:t>. 383-448 (2017).</w:t>
      </w:r>
    </w:p>
    <w:p w:rsidR="006D1352" w:rsidRDefault="006D1352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001367" w:rsidRPr="00951E3D" w:rsidRDefault="00951E3D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51E3D">
        <w:rPr>
          <w:rFonts w:eastAsia="Calibri"/>
          <w:b/>
          <w:color w:val="000000"/>
          <w:sz w:val="23"/>
          <w:szCs w:val="23"/>
        </w:rPr>
        <w:t>Subramanian</w:t>
      </w:r>
      <w:r w:rsidR="00BE4F58">
        <w:rPr>
          <w:rFonts w:eastAsia="Calibri"/>
          <w:b/>
          <w:color w:val="000000"/>
          <w:sz w:val="23"/>
          <w:szCs w:val="23"/>
        </w:rPr>
        <w:t xml:space="preserve">, </w:t>
      </w:r>
      <w:proofErr w:type="spellStart"/>
      <w:r w:rsidR="00BE4F58" w:rsidRPr="00951E3D">
        <w:rPr>
          <w:rFonts w:eastAsia="Calibri"/>
          <w:b/>
          <w:color w:val="000000"/>
          <w:sz w:val="23"/>
          <w:szCs w:val="23"/>
        </w:rPr>
        <w:t>Guhan</w:t>
      </w:r>
      <w:proofErr w:type="spellEnd"/>
      <w:r w:rsidRPr="00951E3D">
        <w:rPr>
          <w:rFonts w:eastAsia="Calibri"/>
          <w:b/>
          <w:color w:val="000000"/>
          <w:sz w:val="23"/>
          <w:szCs w:val="23"/>
        </w:rPr>
        <w:t xml:space="preserve">. </w:t>
      </w:r>
      <w:r w:rsidRPr="00951E3D">
        <w:rPr>
          <w:rFonts w:eastAsia="Calibri"/>
          <w:color w:val="000000"/>
          <w:sz w:val="23"/>
          <w:szCs w:val="23"/>
        </w:rPr>
        <w:t xml:space="preserve">Deal </w:t>
      </w:r>
      <w:r w:rsidR="002332DA">
        <w:rPr>
          <w:rFonts w:eastAsia="Calibri"/>
          <w:color w:val="000000"/>
          <w:sz w:val="23"/>
          <w:szCs w:val="23"/>
        </w:rPr>
        <w:t>P</w:t>
      </w:r>
      <w:r w:rsidRPr="00951E3D">
        <w:rPr>
          <w:rFonts w:eastAsia="Calibri"/>
          <w:color w:val="000000"/>
          <w:sz w:val="23"/>
          <w:szCs w:val="23"/>
        </w:rPr>
        <w:t xml:space="preserve">rocess </w:t>
      </w:r>
      <w:r w:rsidR="002332DA">
        <w:rPr>
          <w:rFonts w:eastAsia="Calibri"/>
          <w:color w:val="000000"/>
          <w:sz w:val="23"/>
          <w:szCs w:val="23"/>
        </w:rPr>
        <w:t>D</w:t>
      </w:r>
      <w:r w:rsidRPr="00951E3D">
        <w:rPr>
          <w:rFonts w:eastAsia="Calibri"/>
          <w:color w:val="000000"/>
          <w:sz w:val="23"/>
          <w:szCs w:val="23"/>
        </w:rPr>
        <w:t xml:space="preserve">esign in </w:t>
      </w:r>
      <w:r w:rsidR="002332DA">
        <w:rPr>
          <w:rFonts w:eastAsia="Calibri"/>
          <w:color w:val="000000"/>
          <w:sz w:val="23"/>
          <w:szCs w:val="23"/>
        </w:rPr>
        <w:t>M</w:t>
      </w:r>
      <w:r w:rsidRPr="00951E3D">
        <w:rPr>
          <w:rFonts w:eastAsia="Calibri"/>
          <w:color w:val="000000"/>
          <w:sz w:val="23"/>
          <w:szCs w:val="23"/>
        </w:rPr>
        <w:t xml:space="preserve">anagement </w:t>
      </w:r>
      <w:r w:rsidR="002332DA">
        <w:rPr>
          <w:rFonts w:eastAsia="Calibri"/>
          <w:color w:val="000000"/>
          <w:sz w:val="23"/>
          <w:szCs w:val="23"/>
        </w:rPr>
        <w:t>B</w:t>
      </w:r>
      <w:r w:rsidRPr="00951E3D">
        <w:rPr>
          <w:rFonts w:eastAsia="Calibri"/>
          <w:color w:val="000000"/>
          <w:sz w:val="23"/>
          <w:szCs w:val="23"/>
        </w:rPr>
        <w:t xml:space="preserve">uyouts. </w:t>
      </w:r>
      <w:r w:rsidRPr="00951E3D">
        <w:rPr>
          <w:rFonts w:eastAsia="Calibri"/>
          <w:smallCaps/>
          <w:color w:val="000000"/>
          <w:sz w:val="23"/>
          <w:szCs w:val="23"/>
        </w:rPr>
        <w:t xml:space="preserve">130 </w:t>
      </w:r>
      <w:proofErr w:type="spellStart"/>
      <w:r w:rsidRPr="00951E3D">
        <w:rPr>
          <w:rFonts w:eastAsia="Calibri"/>
          <w:smallCaps/>
          <w:color w:val="000000"/>
          <w:sz w:val="23"/>
          <w:szCs w:val="23"/>
        </w:rPr>
        <w:t>Harv</w:t>
      </w:r>
      <w:proofErr w:type="spellEnd"/>
      <w:r w:rsidRPr="00951E3D">
        <w:rPr>
          <w:rFonts w:eastAsia="Calibri"/>
          <w:smallCaps/>
          <w:color w:val="000000"/>
          <w:sz w:val="23"/>
          <w:szCs w:val="23"/>
        </w:rPr>
        <w:t>. L. Rev.</w:t>
      </w:r>
      <w:r w:rsidRPr="00951E3D">
        <w:rPr>
          <w:rFonts w:eastAsia="Calibri"/>
          <w:color w:val="000000"/>
          <w:sz w:val="23"/>
          <w:szCs w:val="23"/>
        </w:rPr>
        <w:t xml:space="preserve"> 590-658 (2016).</w:t>
      </w:r>
    </w:p>
    <w:p w:rsidR="006D1352" w:rsidRDefault="006D1352" w:rsidP="006D1352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6D1352" w:rsidRPr="00A0500A" w:rsidRDefault="006D1352" w:rsidP="006D1352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proofErr w:type="spellStart"/>
      <w:r w:rsidRPr="00A0500A">
        <w:rPr>
          <w:rFonts w:eastAsia="Calibri"/>
          <w:b/>
          <w:color w:val="000000"/>
          <w:sz w:val="23"/>
          <w:szCs w:val="23"/>
        </w:rPr>
        <w:t>Rauterberg</w:t>
      </w:r>
      <w:proofErr w:type="spellEnd"/>
      <w:r w:rsidRPr="00A0500A">
        <w:rPr>
          <w:rFonts w:eastAsia="Calibri"/>
          <w:b/>
          <w:color w:val="000000"/>
          <w:sz w:val="23"/>
          <w:szCs w:val="23"/>
        </w:rPr>
        <w:t>,</w:t>
      </w:r>
      <w:r>
        <w:rPr>
          <w:rFonts w:eastAsia="Calibri"/>
          <w:b/>
          <w:color w:val="000000"/>
          <w:sz w:val="23"/>
          <w:szCs w:val="23"/>
        </w:rPr>
        <w:t xml:space="preserve"> Gabriel</w:t>
      </w:r>
      <w:r w:rsidR="002332DA">
        <w:rPr>
          <w:rFonts w:eastAsia="Calibri"/>
          <w:b/>
          <w:color w:val="000000"/>
          <w:sz w:val="23"/>
          <w:szCs w:val="23"/>
        </w:rPr>
        <w:t xml:space="preserve"> and </w:t>
      </w:r>
      <w:r w:rsidRPr="00A0500A">
        <w:rPr>
          <w:rFonts w:eastAsia="Calibri"/>
          <w:b/>
          <w:color w:val="000000"/>
          <w:sz w:val="23"/>
          <w:szCs w:val="23"/>
        </w:rPr>
        <w:t>Eric Talley</w:t>
      </w:r>
      <w:r w:rsidRPr="00A0500A">
        <w:rPr>
          <w:rFonts w:eastAsia="Calibri"/>
          <w:color w:val="000000"/>
          <w:sz w:val="23"/>
          <w:szCs w:val="23"/>
        </w:rPr>
        <w:t xml:space="preserve">. Contracting </w:t>
      </w:r>
      <w:r w:rsidR="002332DA">
        <w:rPr>
          <w:rFonts w:eastAsia="Calibri"/>
          <w:color w:val="000000"/>
          <w:sz w:val="23"/>
          <w:szCs w:val="23"/>
        </w:rPr>
        <w:t>O</w:t>
      </w:r>
      <w:r w:rsidRPr="00A0500A">
        <w:rPr>
          <w:rFonts w:eastAsia="Calibri"/>
          <w:color w:val="000000"/>
          <w:sz w:val="23"/>
          <w:szCs w:val="23"/>
        </w:rPr>
        <w:t xml:space="preserve">ut of the </w:t>
      </w:r>
      <w:r w:rsidR="002332DA">
        <w:rPr>
          <w:rFonts w:eastAsia="Calibri"/>
          <w:color w:val="000000"/>
          <w:sz w:val="23"/>
          <w:szCs w:val="23"/>
        </w:rPr>
        <w:t>F</w:t>
      </w:r>
      <w:r w:rsidRPr="00A0500A">
        <w:rPr>
          <w:rFonts w:eastAsia="Calibri"/>
          <w:color w:val="000000"/>
          <w:sz w:val="23"/>
          <w:szCs w:val="23"/>
        </w:rPr>
        <w:t xml:space="preserve">iduciary </w:t>
      </w:r>
      <w:r w:rsidR="002332DA">
        <w:rPr>
          <w:rFonts w:eastAsia="Calibri"/>
          <w:color w:val="000000"/>
          <w:sz w:val="23"/>
          <w:szCs w:val="23"/>
        </w:rPr>
        <w:t>D</w:t>
      </w:r>
      <w:r w:rsidRPr="00A0500A">
        <w:rPr>
          <w:rFonts w:eastAsia="Calibri"/>
          <w:color w:val="000000"/>
          <w:sz w:val="23"/>
          <w:szCs w:val="23"/>
        </w:rPr>
        <w:t xml:space="preserve">uty of </w:t>
      </w:r>
      <w:r w:rsidR="002332DA">
        <w:rPr>
          <w:rFonts w:eastAsia="Calibri"/>
          <w:color w:val="000000"/>
          <w:sz w:val="23"/>
          <w:szCs w:val="23"/>
        </w:rPr>
        <w:t>L</w:t>
      </w:r>
      <w:r w:rsidRPr="00A0500A">
        <w:rPr>
          <w:rFonts w:eastAsia="Calibri"/>
          <w:color w:val="000000"/>
          <w:sz w:val="23"/>
          <w:szCs w:val="23"/>
        </w:rPr>
        <w:t xml:space="preserve">oyalty: </w:t>
      </w:r>
      <w:r w:rsidR="002332DA">
        <w:rPr>
          <w:rFonts w:eastAsia="Calibri"/>
          <w:color w:val="000000"/>
          <w:sz w:val="23"/>
          <w:szCs w:val="23"/>
        </w:rPr>
        <w:t>A</w:t>
      </w:r>
      <w:r w:rsidRPr="00A0500A">
        <w:rPr>
          <w:rFonts w:eastAsia="Calibri"/>
          <w:color w:val="000000"/>
          <w:sz w:val="23"/>
          <w:szCs w:val="23"/>
        </w:rPr>
        <w:t xml:space="preserve">n </w:t>
      </w:r>
      <w:r w:rsidR="002332DA">
        <w:rPr>
          <w:rFonts w:eastAsia="Calibri"/>
          <w:color w:val="000000"/>
          <w:sz w:val="23"/>
          <w:szCs w:val="23"/>
        </w:rPr>
        <w:t>E</w:t>
      </w:r>
      <w:r w:rsidRPr="00A0500A">
        <w:rPr>
          <w:rFonts w:eastAsia="Calibri"/>
          <w:color w:val="000000"/>
          <w:sz w:val="23"/>
          <w:szCs w:val="23"/>
        </w:rPr>
        <w:t xml:space="preserve">mpirical </w:t>
      </w:r>
      <w:r w:rsidR="002332DA">
        <w:rPr>
          <w:rFonts w:eastAsia="Calibri"/>
          <w:color w:val="000000"/>
          <w:sz w:val="23"/>
          <w:szCs w:val="23"/>
        </w:rPr>
        <w:t>A</w:t>
      </w:r>
      <w:r w:rsidRPr="00A0500A">
        <w:rPr>
          <w:rFonts w:eastAsia="Calibri"/>
          <w:color w:val="000000"/>
          <w:sz w:val="23"/>
          <w:szCs w:val="23"/>
        </w:rPr>
        <w:t xml:space="preserve">nalysis of </w:t>
      </w:r>
      <w:r w:rsidR="002332DA">
        <w:rPr>
          <w:rFonts w:eastAsia="Calibri"/>
          <w:color w:val="000000"/>
          <w:sz w:val="23"/>
          <w:szCs w:val="23"/>
        </w:rPr>
        <w:t>C</w:t>
      </w:r>
      <w:r w:rsidRPr="00A0500A">
        <w:rPr>
          <w:rFonts w:eastAsia="Calibri"/>
          <w:color w:val="000000"/>
          <w:sz w:val="23"/>
          <w:szCs w:val="23"/>
        </w:rPr>
        <w:t xml:space="preserve">orporate </w:t>
      </w:r>
      <w:r w:rsidR="002332DA">
        <w:rPr>
          <w:rFonts w:eastAsia="Calibri"/>
          <w:color w:val="000000"/>
          <w:sz w:val="23"/>
          <w:szCs w:val="23"/>
        </w:rPr>
        <w:t>O</w:t>
      </w:r>
      <w:r w:rsidRPr="00A0500A">
        <w:rPr>
          <w:rFonts w:eastAsia="Calibri"/>
          <w:color w:val="000000"/>
          <w:sz w:val="23"/>
          <w:szCs w:val="23"/>
        </w:rPr>
        <w:t xml:space="preserve">pportunity </w:t>
      </w:r>
      <w:r w:rsidR="002332DA">
        <w:rPr>
          <w:rFonts w:eastAsia="Calibri"/>
          <w:color w:val="000000"/>
          <w:sz w:val="23"/>
          <w:szCs w:val="23"/>
        </w:rPr>
        <w:t>W</w:t>
      </w:r>
      <w:r w:rsidRPr="00A0500A">
        <w:rPr>
          <w:rFonts w:eastAsia="Calibri"/>
          <w:color w:val="000000"/>
          <w:sz w:val="23"/>
          <w:szCs w:val="23"/>
        </w:rPr>
        <w:t xml:space="preserve">aivers. 117 </w:t>
      </w:r>
      <w:r w:rsidRPr="00A0500A">
        <w:rPr>
          <w:rFonts w:eastAsia="Calibri"/>
          <w:smallCaps/>
          <w:color w:val="000000"/>
          <w:sz w:val="23"/>
          <w:szCs w:val="23"/>
        </w:rPr>
        <w:t>Colum. L. Rev</w:t>
      </w:r>
      <w:r w:rsidRPr="00A0500A">
        <w:rPr>
          <w:rFonts w:eastAsia="Calibri"/>
          <w:color w:val="000000"/>
          <w:sz w:val="23"/>
          <w:szCs w:val="23"/>
        </w:rPr>
        <w:t>. 1075-1151 (2017).</w:t>
      </w:r>
    </w:p>
    <w:p w:rsidR="00951E3D" w:rsidRDefault="00951E3D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A0500A" w:rsidRPr="00001367" w:rsidRDefault="00A0500A" w:rsidP="00001367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sectPr w:rsidR="00A0500A" w:rsidRPr="00001367" w:rsidSect="00001367">
      <w:pgSz w:w="12240" w:h="15840" w:code="1"/>
      <w:pgMar w:top="1980" w:right="1080" w:bottom="144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1B" w:rsidRDefault="00A7451B" w:rsidP="007C5FC0">
      <w:r>
        <w:separator/>
      </w:r>
    </w:p>
  </w:endnote>
  <w:endnote w:type="continuationSeparator" w:id="0">
    <w:p w:rsidR="00A7451B" w:rsidRDefault="00A7451B" w:rsidP="007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1B" w:rsidRDefault="00A7451B" w:rsidP="007C5FC0">
      <w:r>
        <w:separator/>
      </w:r>
    </w:p>
  </w:footnote>
  <w:footnote w:type="continuationSeparator" w:id="0">
    <w:p w:rsidR="00A7451B" w:rsidRDefault="00A7451B" w:rsidP="007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724"/>
    <w:multiLevelType w:val="hybridMultilevel"/>
    <w:tmpl w:val="EF7E7A7C"/>
    <w:lvl w:ilvl="0" w:tplc="20329CA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NLQwtTA2MDA1tDRX0lEKTi0uzszPAykwrAUAWY5FGSwAAAA="/>
  </w:docVars>
  <w:rsids>
    <w:rsidRoot w:val="00764889"/>
    <w:rsid w:val="00001367"/>
    <w:rsid w:val="000072F9"/>
    <w:rsid w:val="00015F30"/>
    <w:rsid w:val="00030FEB"/>
    <w:rsid w:val="00034DAD"/>
    <w:rsid w:val="00052C38"/>
    <w:rsid w:val="00062CB6"/>
    <w:rsid w:val="00064D02"/>
    <w:rsid w:val="0006641A"/>
    <w:rsid w:val="00073645"/>
    <w:rsid w:val="000C696D"/>
    <w:rsid w:val="001164DA"/>
    <w:rsid w:val="00157711"/>
    <w:rsid w:val="00175B58"/>
    <w:rsid w:val="001A0FFF"/>
    <w:rsid w:val="001A3308"/>
    <w:rsid w:val="001E787B"/>
    <w:rsid w:val="002175F4"/>
    <w:rsid w:val="002332DA"/>
    <w:rsid w:val="00247E41"/>
    <w:rsid w:val="002654E3"/>
    <w:rsid w:val="002C20BD"/>
    <w:rsid w:val="002D216F"/>
    <w:rsid w:val="00314394"/>
    <w:rsid w:val="003312CA"/>
    <w:rsid w:val="00392333"/>
    <w:rsid w:val="00392E8F"/>
    <w:rsid w:val="003C7179"/>
    <w:rsid w:val="003D6BDA"/>
    <w:rsid w:val="003E004F"/>
    <w:rsid w:val="003E345B"/>
    <w:rsid w:val="004049AA"/>
    <w:rsid w:val="00425664"/>
    <w:rsid w:val="00466659"/>
    <w:rsid w:val="004A36A3"/>
    <w:rsid w:val="004A70B5"/>
    <w:rsid w:val="005047E0"/>
    <w:rsid w:val="00516F3F"/>
    <w:rsid w:val="0051749F"/>
    <w:rsid w:val="00542044"/>
    <w:rsid w:val="0058393C"/>
    <w:rsid w:val="005875DA"/>
    <w:rsid w:val="005A3280"/>
    <w:rsid w:val="005B0566"/>
    <w:rsid w:val="005F7D1E"/>
    <w:rsid w:val="00630936"/>
    <w:rsid w:val="00643F6E"/>
    <w:rsid w:val="0065332E"/>
    <w:rsid w:val="00680BB6"/>
    <w:rsid w:val="006903A0"/>
    <w:rsid w:val="006943A5"/>
    <w:rsid w:val="00697776"/>
    <w:rsid w:val="006D1352"/>
    <w:rsid w:val="006D2C20"/>
    <w:rsid w:val="00706DE2"/>
    <w:rsid w:val="0071669A"/>
    <w:rsid w:val="00764889"/>
    <w:rsid w:val="007658E1"/>
    <w:rsid w:val="0077048C"/>
    <w:rsid w:val="007C5FC0"/>
    <w:rsid w:val="0080698C"/>
    <w:rsid w:val="00822EC6"/>
    <w:rsid w:val="00824B65"/>
    <w:rsid w:val="008B1C32"/>
    <w:rsid w:val="008B4698"/>
    <w:rsid w:val="008F7065"/>
    <w:rsid w:val="0093261F"/>
    <w:rsid w:val="00951E3D"/>
    <w:rsid w:val="00993A16"/>
    <w:rsid w:val="00994B72"/>
    <w:rsid w:val="009B57B9"/>
    <w:rsid w:val="00A0500A"/>
    <w:rsid w:val="00A231C3"/>
    <w:rsid w:val="00A235BD"/>
    <w:rsid w:val="00A42EAF"/>
    <w:rsid w:val="00A7451B"/>
    <w:rsid w:val="00A83EDA"/>
    <w:rsid w:val="00A9416B"/>
    <w:rsid w:val="00AB3696"/>
    <w:rsid w:val="00AD494D"/>
    <w:rsid w:val="00AE0538"/>
    <w:rsid w:val="00B503B5"/>
    <w:rsid w:val="00B66EB4"/>
    <w:rsid w:val="00B81231"/>
    <w:rsid w:val="00BB7F2C"/>
    <w:rsid w:val="00BD5254"/>
    <w:rsid w:val="00BE4F58"/>
    <w:rsid w:val="00C259FF"/>
    <w:rsid w:val="00C35306"/>
    <w:rsid w:val="00C421CB"/>
    <w:rsid w:val="00C50376"/>
    <w:rsid w:val="00C87A29"/>
    <w:rsid w:val="00C96924"/>
    <w:rsid w:val="00CA2C2C"/>
    <w:rsid w:val="00CD1FDB"/>
    <w:rsid w:val="00CF15BB"/>
    <w:rsid w:val="00CF6DBF"/>
    <w:rsid w:val="00D5299D"/>
    <w:rsid w:val="00D756F2"/>
    <w:rsid w:val="00D811D3"/>
    <w:rsid w:val="00DD05D3"/>
    <w:rsid w:val="00DE5EBB"/>
    <w:rsid w:val="00E14D04"/>
    <w:rsid w:val="00E82DE3"/>
    <w:rsid w:val="00E95BAC"/>
    <w:rsid w:val="00EC12E6"/>
    <w:rsid w:val="00ED63D0"/>
    <w:rsid w:val="00F00A68"/>
    <w:rsid w:val="00F4580D"/>
    <w:rsid w:val="00F53FED"/>
    <w:rsid w:val="00F670B1"/>
    <w:rsid w:val="00F7794B"/>
    <w:rsid w:val="00F826F6"/>
    <w:rsid w:val="00F962B4"/>
    <w:rsid w:val="00FA422B"/>
    <w:rsid w:val="00FD678C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488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6488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Articlenumbered">
    <w:name w:val="Article numbered"/>
    <w:basedOn w:val="PlainText"/>
    <w:qFormat/>
    <w:rsid w:val="00DD05D3"/>
    <w:pPr>
      <w:spacing w:after="240"/>
    </w:pPr>
    <w:rPr>
      <w:rFonts w:ascii="Times New Roman" w:hAnsi="Times New Roman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5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5D3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C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5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488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6488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Articlenumbered">
    <w:name w:val="Article numbered"/>
    <w:basedOn w:val="PlainText"/>
    <w:qFormat/>
    <w:rsid w:val="00DD05D3"/>
    <w:pPr>
      <w:spacing w:after="240"/>
    </w:pPr>
    <w:rPr>
      <w:rFonts w:ascii="Times New Roman" w:hAnsi="Times New Roman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5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5D3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C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3912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48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1096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1826">
                                          <w:marLeft w:val="96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3187-941C-4EC8-87A8-D2D8B688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Links>
    <vt:vector size="18" baseType="variant"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https://a.next.westlaw.com/Link/Document/FullText?findType=h&amp;pubNum=176284&amp;cite=0417983201&amp;originatingDoc=I169392de41f411df9b8c850332338889&amp;refType=RQ&amp;originationContext=document&amp;transitionType=DocumentItem&amp;contextData=(sc.Default)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https://a.next.westlaw.com/Link/Document/FullText?findType=h&amp;pubNum=176284&amp;cite=0249845901&amp;originatingDoc=I169392de41f411df9b8c850332338889&amp;refType=RQ&amp;originationContext=document&amp;transitionType=DocumentItem&amp;contextData=(sc.Default)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https://a.next.westlaw.com/Link/Document/FullText?findType=h&amp;pubNum=176284&amp;cite=0212704401&amp;originatingDoc=I169392de41f411df9b8c850332338889&amp;refType=RQ&amp;originationContext=document&amp;transitionType=DocumentItem&amp;contextData=(sc.Default)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stewarj1</dc:creator>
  <cp:lastModifiedBy>IST</cp:lastModifiedBy>
  <cp:revision>8</cp:revision>
  <cp:lastPrinted>2018-03-13T18:20:00Z</cp:lastPrinted>
  <dcterms:created xsi:type="dcterms:W3CDTF">2018-03-13T02:31:00Z</dcterms:created>
  <dcterms:modified xsi:type="dcterms:W3CDTF">2018-03-13T18:44:00Z</dcterms:modified>
</cp:coreProperties>
</file>