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C02C" w14:textId="71AE4D66" w:rsidR="00764889" w:rsidRDefault="00764889" w:rsidP="00764889">
      <w:pPr>
        <w:pStyle w:val="Title"/>
        <w:rPr>
          <w:sz w:val="32"/>
        </w:rPr>
      </w:pPr>
      <w:r>
        <w:rPr>
          <w:sz w:val="32"/>
        </w:rPr>
        <w:t>The Top 10 Corporate and Securities Articles of 20</w:t>
      </w:r>
      <w:r w:rsidR="001A3308">
        <w:rPr>
          <w:sz w:val="32"/>
        </w:rPr>
        <w:t>1</w:t>
      </w:r>
      <w:r w:rsidR="00BA6164">
        <w:rPr>
          <w:sz w:val="32"/>
        </w:rPr>
        <w:t>8</w:t>
      </w:r>
    </w:p>
    <w:p w14:paraId="1E7A27DC" w14:textId="77777777" w:rsidR="00764889" w:rsidRDefault="00764889" w:rsidP="00764889">
      <w:pPr>
        <w:jc w:val="center"/>
        <w:rPr>
          <w:b/>
          <w:bCs/>
          <w:sz w:val="22"/>
        </w:rPr>
      </w:pPr>
    </w:p>
    <w:p w14:paraId="4F57EE86" w14:textId="7A2725F9"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F670B1">
        <w:t>twenty-</w:t>
      </w:r>
      <w:r w:rsidR="003E345B">
        <w:t>f</w:t>
      </w:r>
      <w:r w:rsidR="009202E7">
        <w:t>ifth</w:t>
      </w:r>
      <w:r w:rsidR="00F670B1">
        <w:t xml:space="preserve">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064D02">
        <w:t>201</w:t>
      </w:r>
      <w:r w:rsidR="009202E7">
        <w:t>8</w:t>
      </w:r>
      <w:r w:rsidRPr="00764889">
        <w:t xml:space="preserve">. </w:t>
      </w:r>
      <w:r w:rsidR="00B66EB4">
        <w:t xml:space="preserve"> </w:t>
      </w:r>
      <w:r w:rsidR="007635CE">
        <w:t xml:space="preserve">Just short of </w:t>
      </w:r>
      <w:r w:rsidR="009202E7">
        <w:t>400</w:t>
      </w:r>
      <w:r w:rsidR="006943A5" w:rsidRPr="003D6BDA">
        <w:t xml:space="preserve"> </w:t>
      </w:r>
      <w:r w:rsidR="00B66EB4" w:rsidRPr="003D6BDA">
        <w:t>articles</w:t>
      </w:r>
      <w:r w:rsidR="00B66EB4">
        <w:t xml:space="preserve">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064D02">
        <w:t>201</w:t>
      </w:r>
      <w:r w:rsidR="009202E7">
        <w:t>8</w:t>
      </w:r>
      <w:r w:rsidR="006943A5" w:rsidRPr="00764889">
        <w:t xml:space="preserve"> </w:t>
      </w:r>
      <w:r w:rsidRPr="00764889">
        <w:t xml:space="preserve">have a </w:t>
      </w:r>
      <w:r w:rsidR="00E95BAC">
        <w:t>201</w:t>
      </w:r>
      <w:r w:rsidR="009202E7">
        <w:t>7</w:t>
      </w:r>
      <w:r w:rsidR="006943A5" w:rsidRPr="00764889">
        <w:t xml:space="preserve"> </w:t>
      </w:r>
      <w:r w:rsidRPr="00764889">
        <w:t xml:space="preserve">date, and not all articles containing a </w:t>
      </w:r>
      <w:r w:rsidR="00E95BAC">
        <w:t>201</w:t>
      </w:r>
      <w:r w:rsidR="009202E7">
        <w:t>8</w:t>
      </w:r>
      <w:r w:rsidR="006943A5" w:rsidRPr="00764889">
        <w:t xml:space="preserve"> </w:t>
      </w:r>
      <w:r w:rsidRPr="00764889">
        <w:t>date were published and indexed in time to be included in this year’s list.</w:t>
      </w:r>
    </w:p>
    <w:p w14:paraId="7B666F15" w14:textId="77777777" w:rsidR="00764889" w:rsidRDefault="00764889" w:rsidP="00764889">
      <w:pPr>
        <w:tabs>
          <w:tab w:val="left" w:pos="720"/>
        </w:tabs>
      </w:pPr>
    </w:p>
    <w:p w14:paraId="23C061C1" w14:textId="77777777" w:rsidR="00001367" w:rsidRPr="00764889" w:rsidRDefault="00001367" w:rsidP="00764889">
      <w:pPr>
        <w:tabs>
          <w:tab w:val="left" w:pos="720"/>
        </w:tabs>
      </w:pPr>
    </w:p>
    <w:p w14:paraId="2672FCF6" w14:textId="77777777"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14:paraId="245F26A9" w14:textId="77777777" w:rsidR="00001367" w:rsidRDefault="00001367" w:rsidP="002D216F">
      <w:pPr>
        <w:tabs>
          <w:tab w:val="left" w:pos="720"/>
        </w:tabs>
      </w:pPr>
    </w:p>
    <w:p w14:paraId="47FDDA25" w14:textId="071BE0FB"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14:paraId="2B45A82E" w14:textId="2B8D3654" w:rsidR="00614D21" w:rsidRPr="0083493A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Yakov Amihud, Markus Schmid &amp; Steven Davidoff Solomon.</w:t>
      </w:r>
      <w:r w:rsidRPr="0083493A">
        <w:t xml:space="preserve">  Settling the </w:t>
      </w:r>
      <w:r w:rsidR="00BA6164">
        <w:t>S</w:t>
      </w:r>
      <w:r w:rsidRPr="0083493A">
        <w:t xml:space="preserve">taggered </w:t>
      </w:r>
      <w:r w:rsidR="00BA6164">
        <w:t>B</w:t>
      </w:r>
      <w:r w:rsidRPr="0083493A">
        <w:t xml:space="preserve">oard </w:t>
      </w:r>
      <w:r w:rsidR="00BA6164">
        <w:t>D</w:t>
      </w:r>
      <w:r w:rsidRPr="0083493A">
        <w:t xml:space="preserve">ebate.  166 </w:t>
      </w:r>
      <w:r w:rsidRPr="00BA6164">
        <w:rPr>
          <w:smallCaps/>
        </w:rPr>
        <w:t>U. Pa. L. Rev.</w:t>
      </w:r>
      <w:r w:rsidRPr="0083493A">
        <w:t xml:space="preserve"> 1475-1510 (2018)</w:t>
      </w:r>
      <w:r w:rsidR="00BA6164">
        <w:t>.</w:t>
      </w:r>
    </w:p>
    <w:p w14:paraId="3D722697" w14:textId="716492CE" w:rsidR="00614D21" w:rsidRPr="006B0A72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Tamara Belinfanti</w:t>
      </w:r>
      <w:r w:rsidR="00BA6164">
        <w:rPr>
          <w:b/>
        </w:rPr>
        <w:t xml:space="preserve"> &amp;</w:t>
      </w:r>
      <w:r w:rsidRPr="00BA6164">
        <w:rPr>
          <w:b/>
        </w:rPr>
        <w:t xml:space="preserve"> Lynn Stout.</w:t>
      </w:r>
      <w:r w:rsidRPr="006B0A72">
        <w:t xml:space="preserve">  Contested </w:t>
      </w:r>
      <w:r w:rsidR="00BA6164">
        <w:t>V</w:t>
      </w:r>
      <w:r w:rsidRPr="006B0A72">
        <w:t xml:space="preserve">isions: </w:t>
      </w:r>
      <w:r w:rsidR="00BA6164">
        <w:t>T</w:t>
      </w:r>
      <w:r w:rsidRPr="006B0A72">
        <w:t xml:space="preserve">he </w:t>
      </w:r>
      <w:r w:rsidR="00BA6164">
        <w:t>V</w:t>
      </w:r>
      <w:r w:rsidRPr="006B0A72">
        <w:t xml:space="preserve">alue of </w:t>
      </w:r>
      <w:r w:rsidR="00BA6164">
        <w:t>S</w:t>
      </w:r>
      <w:r w:rsidRPr="006B0A72">
        <w:t xml:space="preserve">ystems </w:t>
      </w:r>
      <w:r w:rsidR="00BA6164">
        <w:t>T</w:t>
      </w:r>
      <w:r w:rsidRPr="006B0A72">
        <w:t xml:space="preserve">heory for </w:t>
      </w:r>
      <w:r w:rsidR="00BA6164">
        <w:t>C</w:t>
      </w:r>
      <w:r w:rsidRPr="006B0A72">
        <w:t xml:space="preserve">orporate </w:t>
      </w:r>
      <w:r w:rsidR="00BA6164">
        <w:t>L</w:t>
      </w:r>
      <w:r w:rsidRPr="006B0A72">
        <w:t xml:space="preserve">aw.  166 </w:t>
      </w:r>
      <w:r w:rsidRPr="00BA6164">
        <w:rPr>
          <w:smallCaps/>
        </w:rPr>
        <w:t>U. Pa. L. Rev.</w:t>
      </w:r>
      <w:r w:rsidRPr="006B0A72">
        <w:t xml:space="preserve"> 578-631 (2018).</w:t>
      </w:r>
    </w:p>
    <w:p w14:paraId="1CB1129D" w14:textId="1E1143A3" w:rsidR="00614D21" w:rsidRPr="00682C5E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James D. Cox</w:t>
      </w:r>
      <w:r w:rsidR="00BA6164">
        <w:rPr>
          <w:b/>
        </w:rPr>
        <w:t xml:space="preserve"> &amp;</w:t>
      </w:r>
      <w:r w:rsidRPr="00BA6164">
        <w:rPr>
          <w:b/>
        </w:rPr>
        <w:t xml:space="preserve"> Randall S. Thomas.</w:t>
      </w:r>
      <w:r w:rsidRPr="00682C5E">
        <w:t xml:space="preserve">  Delaware’s </w:t>
      </w:r>
      <w:r w:rsidR="00BA6164">
        <w:t>R</w:t>
      </w:r>
      <w:r w:rsidRPr="00682C5E">
        <w:t xml:space="preserve">etreat: </w:t>
      </w:r>
      <w:r w:rsidR="00BA6164">
        <w:t>E</w:t>
      </w:r>
      <w:r w:rsidRPr="00682C5E">
        <w:t xml:space="preserve">xploring </w:t>
      </w:r>
      <w:r w:rsidR="00BA6164">
        <w:t>D</w:t>
      </w:r>
      <w:r w:rsidRPr="00682C5E">
        <w:t xml:space="preserve">eveloping </w:t>
      </w:r>
      <w:r w:rsidR="00BA6164">
        <w:t>F</w:t>
      </w:r>
      <w:r w:rsidRPr="00682C5E">
        <w:t xml:space="preserve">issures and </w:t>
      </w:r>
      <w:r w:rsidR="00BA6164">
        <w:t>T</w:t>
      </w:r>
      <w:r w:rsidRPr="00682C5E">
        <w:t xml:space="preserve">ectonic </w:t>
      </w:r>
      <w:r w:rsidR="00BA6164">
        <w:t>S</w:t>
      </w:r>
      <w:r w:rsidRPr="00682C5E">
        <w:t xml:space="preserve">hifts in Delaware </w:t>
      </w:r>
      <w:r w:rsidR="00BA6164">
        <w:t>C</w:t>
      </w:r>
      <w:r w:rsidRPr="00682C5E">
        <w:t xml:space="preserve">orporate </w:t>
      </w:r>
      <w:r w:rsidR="00BA6164">
        <w:t>L</w:t>
      </w:r>
      <w:r w:rsidRPr="00682C5E">
        <w:t xml:space="preserve">aw.  42 </w:t>
      </w:r>
      <w:r w:rsidRPr="00BA6164">
        <w:rPr>
          <w:smallCaps/>
        </w:rPr>
        <w:t>Del. J. Corp. L.</w:t>
      </w:r>
      <w:r w:rsidRPr="00682C5E">
        <w:t xml:space="preserve"> 323-389 (2018).</w:t>
      </w:r>
    </w:p>
    <w:p w14:paraId="1BA26C57" w14:textId="0DCB6AD2" w:rsidR="00614D21" w:rsidRPr="00875036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Jill E. Fisch.</w:t>
      </w:r>
      <w:r w:rsidRPr="00875036">
        <w:t xml:space="preserve">  Governance by </w:t>
      </w:r>
      <w:r w:rsidR="00BA6164">
        <w:t>C</w:t>
      </w:r>
      <w:r w:rsidRPr="00875036">
        <w:t xml:space="preserve">ontract: </w:t>
      </w:r>
      <w:r w:rsidR="00BA6164">
        <w:t>T</w:t>
      </w:r>
      <w:r w:rsidRPr="00875036">
        <w:t xml:space="preserve">he </w:t>
      </w:r>
      <w:r w:rsidR="00BA6164">
        <w:t>I</w:t>
      </w:r>
      <w:r w:rsidRPr="00875036">
        <w:t xml:space="preserve">mplications for </w:t>
      </w:r>
      <w:r w:rsidR="00BA6164">
        <w:t>C</w:t>
      </w:r>
      <w:r w:rsidRPr="00875036">
        <w:t xml:space="preserve">orporate </w:t>
      </w:r>
      <w:r w:rsidR="00BA6164">
        <w:t>B</w:t>
      </w:r>
      <w:r w:rsidRPr="00875036">
        <w:t xml:space="preserve">ylaws.  106 </w:t>
      </w:r>
      <w:r w:rsidRPr="00BA6164">
        <w:rPr>
          <w:smallCaps/>
        </w:rPr>
        <w:t>Cal. L. Rev.</w:t>
      </w:r>
      <w:r w:rsidRPr="00875036">
        <w:t xml:space="preserve"> 373-409 (2018). </w:t>
      </w:r>
    </w:p>
    <w:p w14:paraId="6EEDB7C1" w14:textId="3794FDEB" w:rsidR="00BA6164" w:rsidRPr="00E8476D" w:rsidRDefault="00BA6164" w:rsidP="00BA6164">
      <w:pPr>
        <w:pStyle w:val="Articlenumbered"/>
        <w:tabs>
          <w:tab w:val="left" w:pos="900"/>
        </w:tabs>
      </w:pPr>
      <w:r w:rsidRPr="00BA6164">
        <w:rPr>
          <w:b/>
        </w:rPr>
        <w:t>Jill E. Fisch, Jonah B. Gelbach &amp; Jonathan Klick</w:t>
      </w:r>
      <w:r w:rsidRPr="00E8476D">
        <w:t xml:space="preserve">.  The </w:t>
      </w:r>
      <w:r>
        <w:t>L</w:t>
      </w:r>
      <w:r w:rsidRPr="00E8476D">
        <w:t xml:space="preserve">ogic and </w:t>
      </w:r>
      <w:r>
        <w:t>L</w:t>
      </w:r>
      <w:r w:rsidRPr="00E8476D">
        <w:t xml:space="preserve">imits of </w:t>
      </w:r>
      <w:r>
        <w:t>E</w:t>
      </w:r>
      <w:r w:rsidRPr="00E8476D">
        <w:t xml:space="preserve">vent </w:t>
      </w:r>
      <w:r>
        <w:t>S</w:t>
      </w:r>
      <w:r w:rsidRPr="00E8476D">
        <w:t xml:space="preserve">tudies in </w:t>
      </w:r>
      <w:r>
        <w:t>S</w:t>
      </w:r>
      <w:r w:rsidRPr="00E8476D">
        <w:t xml:space="preserve">ecurities </w:t>
      </w:r>
      <w:r>
        <w:t>F</w:t>
      </w:r>
      <w:r w:rsidRPr="00E8476D">
        <w:t xml:space="preserve">raud </w:t>
      </w:r>
      <w:r>
        <w:t>L</w:t>
      </w:r>
      <w:r w:rsidRPr="00E8476D">
        <w:t xml:space="preserve">itigation.  96 </w:t>
      </w:r>
      <w:r w:rsidRPr="00BA6164">
        <w:rPr>
          <w:smallCaps/>
        </w:rPr>
        <w:t>Tex. L. Rev.</w:t>
      </w:r>
      <w:r w:rsidRPr="00E8476D">
        <w:t xml:space="preserve"> 553-618 (2018).</w:t>
      </w:r>
    </w:p>
    <w:p w14:paraId="52B13077" w14:textId="4ABC90A3" w:rsidR="00BA6164" w:rsidRDefault="00BA6164" w:rsidP="00BA6164">
      <w:pPr>
        <w:pStyle w:val="Articlenumbered"/>
        <w:tabs>
          <w:tab w:val="left" w:pos="900"/>
        </w:tabs>
        <w:rPr>
          <w:rStyle w:val="il"/>
          <w:color w:val="222222"/>
        </w:rPr>
      </w:pPr>
      <w:r w:rsidRPr="00BA6164">
        <w:rPr>
          <w:b/>
        </w:rPr>
        <w:t>George S. Geis.</w:t>
      </w:r>
      <w:r w:rsidRPr="00C6053D">
        <w:t xml:space="preserve"> </w:t>
      </w:r>
      <w:r>
        <w:t xml:space="preserve"> </w:t>
      </w:r>
      <w:r w:rsidRPr="00C6053D">
        <w:t>Traceable Shares and</w:t>
      </w:r>
      <w:r w:rsidR="009202E7">
        <w:t xml:space="preserve"> </w:t>
      </w:r>
      <w:r w:rsidRPr="00C6053D">
        <w:rPr>
          <w:rStyle w:val="il"/>
          <w:color w:val="222222"/>
        </w:rPr>
        <w:t>Corporate</w:t>
      </w:r>
      <w:r w:rsidR="009202E7">
        <w:rPr>
          <w:rStyle w:val="il"/>
          <w:color w:val="222222"/>
        </w:rPr>
        <w:t xml:space="preserve"> </w:t>
      </w:r>
      <w:r w:rsidRPr="00C6053D">
        <w:t>Law</w:t>
      </w:r>
      <w:r>
        <w:t>.</w:t>
      </w:r>
      <w:r w:rsidRPr="00C6053D">
        <w:t xml:space="preserve"> </w:t>
      </w:r>
      <w:r>
        <w:t xml:space="preserve"> </w:t>
      </w:r>
      <w:r w:rsidRPr="00C6053D">
        <w:t xml:space="preserve">113 </w:t>
      </w:r>
      <w:r w:rsidRPr="00BA6164">
        <w:rPr>
          <w:smallCaps/>
        </w:rPr>
        <w:t>Nw. U. L.</w:t>
      </w:r>
      <w:r w:rsidRPr="00BA6164">
        <w:rPr>
          <w:smallCaps/>
        </w:rPr>
        <w:t xml:space="preserve"> </w:t>
      </w:r>
      <w:r w:rsidRPr="00BA6164">
        <w:rPr>
          <w:smallCaps/>
        </w:rPr>
        <w:t>Rev.</w:t>
      </w:r>
      <w:r w:rsidRPr="00C6053D">
        <w:t xml:space="preserve"> 227</w:t>
      </w:r>
      <w:r w:rsidR="001C3526">
        <w:t>-277</w:t>
      </w:r>
      <w:bookmarkStart w:id="0" w:name="_GoBack"/>
      <w:bookmarkEnd w:id="0"/>
      <w:r w:rsidRPr="00C6053D">
        <w:t xml:space="preserve"> (</w:t>
      </w:r>
      <w:r w:rsidRPr="00C6053D">
        <w:rPr>
          <w:rStyle w:val="il"/>
          <w:color w:val="222222"/>
        </w:rPr>
        <w:t>2018</w:t>
      </w:r>
      <w:r>
        <w:rPr>
          <w:rStyle w:val="il"/>
          <w:color w:val="222222"/>
        </w:rPr>
        <w:t>)</w:t>
      </w:r>
      <w:r>
        <w:rPr>
          <w:rStyle w:val="il"/>
          <w:color w:val="222222"/>
        </w:rPr>
        <w:t>.</w:t>
      </w:r>
    </w:p>
    <w:p w14:paraId="11B09E49" w14:textId="01E6518A" w:rsidR="00614D21" w:rsidRPr="00875036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Cathy Hwang.</w:t>
      </w:r>
      <w:r w:rsidRPr="00875036">
        <w:t xml:space="preserve">  Deal </w:t>
      </w:r>
      <w:r w:rsidR="00BA6164">
        <w:t>M</w:t>
      </w:r>
      <w:r w:rsidRPr="00875036">
        <w:t xml:space="preserve">omentum.  65 </w:t>
      </w:r>
      <w:r w:rsidRPr="00BA6164">
        <w:rPr>
          <w:smallCaps/>
        </w:rPr>
        <w:t>UCLA L. Rev.</w:t>
      </w:r>
      <w:r w:rsidRPr="00875036">
        <w:t xml:space="preserve"> 376-425 (2018).</w:t>
      </w:r>
    </w:p>
    <w:p w14:paraId="5CA8A336" w14:textId="73BB9DCC" w:rsidR="00BA6164" w:rsidRDefault="00BA6164" w:rsidP="00BA6164">
      <w:pPr>
        <w:pStyle w:val="Articlenumbered"/>
        <w:tabs>
          <w:tab w:val="left" w:pos="900"/>
        </w:tabs>
      </w:pPr>
      <w:r w:rsidRPr="00BA6164">
        <w:rPr>
          <w:b/>
        </w:rPr>
        <w:t>Dorothy S. Lund.</w:t>
      </w:r>
      <w:r w:rsidRPr="007A33CF">
        <w:t xml:space="preserve">  The </w:t>
      </w:r>
      <w:r>
        <w:t>C</w:t>
      </w:r>
      <w:r w:rsidRPr="007A33CF">
        <w:t xml:space="preserve">ase </w:t>
      </w:r>
      <w:r>
        <w:t>a</w:t>
      </w:r>
      <w:r w:rsidRPr="007A33CF">
        <w:t xml:space="preserve">gainst </w:t>
      </w:r>
      <w:r>
        <w:t>P</w:t>
      </w:r>
      <w:r w:rsidRPr="007A33CF">
        <w:t xml:space="preserve">assive </w:t>
      </w:r>
      <w:r>
        <w:t>S</w:t>
      </w:r>
      <w:r w:rsidRPr="007A33CF">
        <w:t xml:space="preserve">hareholding </w:t>
      </w:r>
      <w:r>
        <w:t>V</w:t>
      </w:r>
      <w:r w:rsidRPr="007A33CF">
        <w:t xml:space="preserve">oting.  </w:t>
      </w:r>
      <w:r w:rsidRPr="00BA6164">
        <w:rPr>
          <w:smallCaps/>
        </w:rPr>
        <w:t>43 J. Corp. L.</w:t>
      </w:r>
      <w:r w:rsidRPr="007A33CF">
        <w:t xml:space="preserve"> 493-536 (2018).</w:t>
      </w:r>
    </w:p>
    <w:p w14:paraId="2A168C77" w14:textId="77777777" w:rsidR="00614D21" w:rsidRPr="00A104B6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Edward B. Rock &amp; Daniel L. Rubinfeld.</w:t>
      </w:r>
      <w:r>
        <w:t xml:space="preserve"> </w:t>
      </w:r>
      <w:r w:rsidRPr="00A104B6">
        <w:t xml:space="preserve"> Antitrust for Institutional Investors</w:t>
      </w:r>
      <w:r>
        <w:t xml:space="preserve">. </w:t>
      </w:r>
      <w:r w:rsidRPr="00A104B6">
        <w:t xml:space="preserve"> 82 </w:t>
      </w:r>
      <w:r w:rsidRPr="00BA6164">
        <w:rPr>
          <w:smallCaps/>
        </w:rPr>
        <w:t>Antitrust L. J.</w:t>
      </w:r>
      <w:r w:rsidRPr="00A104B6">
        <w:t xml:space="preserve"> 221-78 (</w:t>
      </w:r>
      <w:r w:rsidRPr="00A104B6">
        <w:rPr>
          <w:rStyle w:val="il"/>
        </w:rPr>
        <w:t>2018</w:t>
      </w:r>
      <w:r w:rsidRPr="00A104B6">
        <w:t>).</w:t>
      </w:r>
    </w:p>
    <w:p w14:paraId="550B5B27" w14:textId="77777777" w:rsidR="00614D21" w:rsidRPr="00C6053D" w:rsidRDefault="00614D21" w:rsidP="00BA6164">
      <w:pPr>
        <w:pStyle w:val="Articlenumbered"/>
        <w:tabs>
          <w:tab w:val="left" w:pos="900"/>
        </w:tabs>
      </w:pPr>
      <w:r w:rsidRPr="00BA6164">
        <w:rPr>
          <w:b/>
        </w:rPr>
        <w:t>Mark J. Roe.</w:t>
      </w:r>
      <w:r>
        <w:t xml:space="preserve"> </w:t>
      </w:r>
      <w:r w:rsidRPr="00C6053D">
        <w:t xml:space="preserve"> Stock-Market Short-Termism’s Impact</w:t>
      </w:r>
      <w:r>
        <w:t xml:space="preserve">. </w:t>
      </w:r>
      <w:r w:rsidRPr="00C6053D">
        <w:t xml:space="preserve"> 167 </w:t>
      </w:r>
      <w:r w:rsidRPr="00BA6164">
        <w:rPr>
          <w:smallCaps/>
        </w:rPr>
        <w:t>U. Pa. L. Rev.</w:t>
      </w:r>
      <w:r w:rsidRPr="00C6053D">
        <w:t xml:space="preserve"> 71-121 (</w:t>
      </w:r>
      <w:r w:rsidRPr="00C6053D">
        <w:rPr>
          <w:rStyle w:val="il"/>
          <w:color w:val="222222"/>
        </w:rPr>
        <w:t>2018</w:t>
      </w:r>
      <w:r w:rsidRPr="00C6053D">
        <w:t>).</w:t>
      </w:r>
    </w:p>
    <w:p w14:paraId="5392A558" w14:textId="77777777" w:rsidR="00614D21" w:rsidRDefault="00614D21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sectPr w:rsidR="00614D21" w:rsidSect="00001367">
      <w:pgSz w:w="12240" w:h="15840" w:code="1"/>
      <w:pgMar w:top="198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0E0F" w14:textId="77777777" w:rsidR="00585FAE" w:rsidRDefault="00585FAE" w:rsidP="007C5FC0">
      <w:r>
        <w:separator/>
      </w:r>
    </w:p>
  </w:endnote>
  <w:endnote w:type="continuationSeparator" w:id="0">
    <w:p w14:paraId="2B2389A3" w14:textId="77777777" w:rsidR="00585FAE" w:rsidRDefault="00585FAE" w:rsidP="007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7279" w14:textId="77777777" w:rsidR="00585FAE" w:rsidRDefault="00585FAE" w:rsidP="007C5FC0">
      <w:r>
        <w:separator/>
      </w:r>
    </w:p>
  </w:footnote>
  <w:footnote w:type="continuationSeparator" w:id="0">
    <w:p w14:paraId="031FB14B" w14:textId="77777777" w:rsidR="00585FAE" w:rsidRDefault="00585FAE" w:rsidP="007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37F"/>
    <w:multiLevelType w:val="hybridMultilevel"/>
    <w:tmpl w:val="9FB0B2E2"/>
    <w:lvl w:ilvl="0" w:tplc="275C41A0">
      <w:start w:val="1"/>
      <w:numFmt w:val="decimal"/>
      <w:pStyle w:val="HeaderCha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a2NLQwtTA2MDA1tDRX0lEKTi0uzszPAykwrAUAWY5FGSwAAAA="/>
  </w:docVars>
  <w:rsids>
    <w:rsidRoot w:val="00764889"/>
    <w:rsid w:val="00001367"/>
    <w:rsid w:val="000072F9"/>
    <w:rsid w:val="00015F30"/>
    <w:rsid w:val="00030FEB"/>
    <w:rsid w:val="00034DAD"/>
    <w:rsid w:val="00052C38"/>
    <w:rsid w:val="00062CB6"/>
    <w:rsid w:val="00064D02"/>
    <w:rsid w:val="0006641A"/>
    <w:rsid w:val="00073645"/>
    <w:rsid w:val="000C696D"/>
    <w:rsid w:val="001164DA"/>
    <w:rsid w:val="00157711"/>
    <w:rsid w:val="00175B58"/>
    <w:rsid w:val="001A0FFF"/>
    <w:rsid w:val="001A3308"/>
    <w:rsid w:val="001C3526"/>
    <w:rsid w:val="001E787B"/>
    <w:rsid w:val="002175F4"/>
    <w:rsid w:val="002332DA"/>
    <w:rsid w:val="00247E41"/>
    <w:rsid w:val="002654E3"/>
    <w:rsid w:val="002C20BD"/>
    <w:rsid w:val="002D216F"/>
    <w:rsid w:val="00314394"/>
    <w:rsid w:val="003312CA"/>
    <w:rsid w:val="00392333"/>
    <w:rsid w:val="00392E8F"/>
    <w:rsid w:val="003C7179"/>
    <w:rsid w:val="003D6BDA"/>
    <w:rsid w:val="003E004F"/>
    <w:rsid w:val="003E345B"/>
    <w:rsid w:val="004049AA"/>
    <w:rsid w:val="00425664"/>
    <w:rsid w:val="00466659"/>
    <w:rsid w:val="004A36A3"/>
    <w:rsid w:val="004A70B5"/>
    <w:rsid w:val="005047E0"/>
    <w:rsid w:val="00516F3F"/>
    <w:rsid w:val="0051749F"/>
    <w:rsid w:val="00542044"/>
    <w:rsid w:val="0058393C"/>
    <w:rsid w:val="00585FAE"/>
    <w:rsid w:val="005875DA"/>
    <w:rsid w:val="005A3280"/>
    <w:rsid w:val="005B0566"/>
    <w:rsid w:val="005F7D1E"/>
    <w:rsid w:val="00614D21"/>
    <w:rsid w:val="00630936"/>
    <w:rsid w:val="00643F6E"/>
    <w:rsid w:val="0065332E"/>
    <w:rsid w:val="00680BB6"/>
    <w:rsid w:val="006903A0"/>
    <w:rsid w:val="006943A5"/>
    <w:rsid w:val="00697776"/>
    <w:rsid w:val="006D1352"/>
    <w:rsid w:val="006D2C20"/>
    <w:rsid w:val="00706DE2"/>
    <w:rsid w:val="0071669A"/>
    <w:rsid w:val="007635CE"/>
    <w:rsid w:val="00764889"/>
    <w:rsid w:val="007658E1"/>
    <w:rsid w:val="0077048C"/>
    <w:rsid w:val="007C5FC0"/>
    <w:rsid w:val="0080698C"/>
    <w:rsid w:val="00822EC6"/>
    <w:rsid w:val="00824B65"/>
    <w:rsid w:val="008B1C32"/>
    <w:rsid w:val="008B4698"/>
    <w:rsid w:val="008F7065"/>
    <w:rsid w:val="009202E7"/>
    <w:rsid w:val="0093261F"/>
    <w:rsid w:val="00951E3D"/>
    <w:rsid w:val="00993A16"/>
    <w:rsid w:val="00994B72"/>
    <w:rsid w:val="009B57B9"/>
    <w:rsid w:val="009C59FE"/>
    <w:rsid w:val="00A0500A"/>
    <w:rsid w:val="00A231C3"/>
    <w:rsid w:val="00A235BD"/>
    <w:rsid w:val="00A42EAF"/>
    <w:rsid w:val="00A7451B"/>
    <w:rsid w:val="00A83EDA"/>
    <w:rsid w:val="00A9416B"/>
    <w:rsid w:val="00AB3696"/>
    <w:rsid w:val="00AD494D"/>
    <w:rsid w:val="00AE0538"/>
    <w:rsid w:val="00B503B5"/>
    <w:rsid w:val="00B66EB4"/>
    <w:rsid w:val="00B81231"/>
    <w:rsid w:val="00BA6164"/>
    <w:rsid w:val="00BB7F2C"/>
    <w:rsid w:val="00BC0142"/>
    <w:rsid w:val="00BD5254"/>
    <w:rsid w:val="00BE4F58"/>
    <w:rsid w:val="00C259FF"/>
    <w:rsid w:val="00C35306"/>
    <w:rsid w:val="00C421CB"/>
    <w:rsid w:val="00C50376"/>
    <w:rsid w:val="00C87A29"/>
    <w:rsid w:val="00C96924"/>
    <w:rsid w:val="00CA2C2C"/>
    <w:rsid w:val="00CD1FDB"/>
    <w:rsid w:val="00CF15BB"/>
    <w:rsid w:val="00CF6DBF"/>
    <w:rsid w:val="00D5299D"/>
    <w:rsid w:val="00D756F2"/>
    <w:rsid w:val="00D811D3"/>
    <w:rsid w:val="00DD05D3"/>
    <w:rsid w:val="00DE5EBB"/>
    <w:rsid w:val="00E14D04"/>
    <w:rsid w:val="00E82DE3"/>
    <w:rsid w:val="00E95BAC"/>
    <w:rsid w:val="00EC12E6"/>
    <w:rsid w:val="00ED63D0"/>
    <w:rsid w:val="00F00A68"/>
    <w:rsid w:val="00F4580D"/>
    <w:rsid w:val="00F53FED"/>
    <w:rsid w:val="00F670B1"/>
    <w:rsid w:val="00F7794B"/>
    <w:rsid w:val="00F826F6"/>
    <w:rsid w:val="00F962B4"/>
    <w:rsid w:val="00FA422B"/>
    <w:rsid w:val="00FD678C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183"/>
  <w15:docId w15:val="{C1175264-C71D-448E-B805-6EEAD80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  <w:style w:type="character" w:customStyle="1" w:styleId="il">
    <w:name w:val="il"/>
    <w:basedOn w:val="DefaultParagraphFont"/>
    <w:rsid w:val="0061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057C-6A08-4822-BD25-B731758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stewarj1</dc:creator>
  <cp:lastModifiedBy>Bob T</cp:lastModifiedBy>
  <cp:revision>4</cp:revision>
  <cp:lastPrinted>2018-03-13T18:20:00Z</cp:lastPrinted>
  <dcterms:created xsi:type="dcterms:W3CDTF">2019-03-13T18:39:00Z</dcterms:created>
  <dcterms:modified xsi:type="dcterms:W3CDTF">2019-03-13T19:00:00Z</dcterms:modified>
</cp:coreProperties>
</file>