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889" w:rsidRDefault="00764889" w:rsidP="00764889">
      <w:pPr>
        <w:pStyle w:val="Title"/>
        <w:rPr>
          <w:sz w:val="32"/>
        </w:rPr>
      </w:pPr>
      <w:r>
        <w:rPr>
          <w:sz w:val="32"/>
        </w:rPr>
        <w:t>The Top 10 Corporate and Securities Articles of 20</w:t>
      </w:r>
      <w:r w:rsidR="0080698C">
        <w:rPr>
          <w:sz w:val="32"/>
        </w:rPr>
        <w:t>11</w:t>
      </w:r>
    </w:p>
    <w:p w:rsidR="00764889" w:rsidRDefault="00764889" w:rsidP="00764889">
      <w:pPr>
        <w:jc w:val="center"/>
        <w:rPr>
          <w:b/>
          <w:bCs/>
          <w:sz w:val="22"/>
        </w:rPr>
      </w:pPr>
    </w:p>
    <w:p w:rsidR="00764889" w:rsidRPr="00764889" w:rsidRDefault="00764889" w:rsidP="00764889">
      <w:pPr>
        <w:pStyle w:val="BodyText"/>
      </w:pPr>
      <w:r w:rsidRPr="00764889">
        <w:t xml:space="preserve">The </w:t>
      </w:r>
      <w:r w:rsidRPr="00764889">
        <w:rPr>
          <w:i/>
          <w:iCs/>
        </w:rPr>
        <w:t>Corporate Practice Commentator</w:t>
      </w:r>
      <w:r w:rsidRPr="00764889">
        <w:t xml:space="preserve"> is pleased to announce the results of its </w:t>
      </w:r>
      <w:r w:rsidR="0080698C">
        <w:t>eighteenth</w:t>
      </w:r>
      <w:r w:rsidR="00643F6E">
        <w:t xml:space="preserve"> </w:t>
      </w:r>
      <w:r w:rsidRPr="00764889">
        <w:t xml:space="preserve">annual poll to select the ten best corporate and securities articles. </w:t>
      </w:r>
      <w:r>
        <w:t xml:space="preserve"> </w:t>
      </w:r>
      <w:r w:rsidRPr="00764889">
        <w:t>Teachers in corporate and securities law were asked to select the best corporate and securities articles from a list of articles published and index</w:t>
      </w:r>
      <w:r>
        <w:t xml:space="preserve">ed in legal journals during </w:t>
      </w:r>
      <w:r w:rsidR="0080698C">
        <w:t>2011</w:t>
      </w:r>
      <w:r w:rsidRPr="00764889">
        <w:t xml:space="preserve">. </w:t>
      </w:r>
      <w:r w:rsidR="00B66EB4">
        <w:t xml:space="preserve">  More than </w:t>
      </w:r>
      <w:r w:rsidR="00A235BD">
        <w:t>580</w:t>
      </w:r>
      <w:r w:rsidR="006943A5">
        <w:t xml:space="preserve"> </w:t>
      </w:r>
      <w:r w:rsidR="00B66EB4">
        <w:t xml:space="preserve">articles were on this year’s list. </w:t>
      </w:r>
      <w:r w:rsidRPr="00764889">
        <w:t xml:space="preserve"> Because of the vagaries of publication, indexing, and mailing,</w:t>
      </w:r>
      <w:r>
        <w:t xml:space="preserve"> some articles published in </w:t>
      </w:r>
      <w:r w:rsidR="00B81231">
        <w:t>2011</w:t>
      </w:r>
      <w:r w:rsidR="006943A5" w:rsidRPr="00764889">
        <w:t xml:space="preserve"> </w:t>
      </w:r>
      <w:r w:rsidRPr="00764889">
        <w:t xml:space="preserve">have a </w:t>
      </w:r>
      <w:r w:rsidR="00B81231">
        <w:t>2010</w:t>
      </w:r>
      <w:r w:rsidR="006943A5" w:rsidRPr="00764889">
        <w:t xml:space="preserve"> </w:t>
      </w:r>
      <w:r w:rsidRPr="00764889">
        <w:t xml:space="preserve">date, and not all articles containing a </w:t>
      </w:r>
      <w:r w:rsidR="00B81231">
        <w:t>2011</w:t>
      </w:r>
      <w:r w:rsidR="006943A5" w:rsidRPr="00764889">
        <w:t xml:space="preserve"> </w:t>
      </w:r>
      <w:r w:rsidRPr="00764889">
        <w:t>date were published and indexed in time to be included in this year’s list.</w:t>
      </w:r>
      <w:r w:rsidR="006943A5">
        <w:t xml:space="preserve"> </w:t>
      </w:r>
    </w:p>
    <w:p w:rsidR="00764889" w:rsidRPr="00764889" w:rsidRDefault="00764889" w:rsidP="00764889">
      <w:pPr>
        <w:tabs>
          <w:tab w:val="left" w:pos="720"/>
        </w:tabs>
      </w:pPr>
    </w:p>
    <w:p w:rsidR="002D216F" w:rsidRDefault="00764889" w:rsidP="002D216F">
      <w:pPr>
        <w:tabs>
          <w:tab w:val="left" w:pos="720"/>
        </w:tabs>
      </w:pPr>
      <w:r w:rsidRPr="00764889">
        <w:t>The articles, listed in alphabetical order of the initial author, are:</w:t>
      </w:r>
    </w:p>
    <w:p w:rsidR="002D216F" w:rsidRDefault="002D216F" w:rsidP="002D216F">
      <w:pPr>
        <w:pStyle w:val="Default"/>
      </w:pPr>
    </w:p>
    <w:p w:rsidR="00B81231" w:rsidRDefault="00B81231" w:rsidP="00B81231">
      <w:pPr>
        <w:tabs>
          <w:tab w:val="left" w:pos="720"/>
        </w:tabs>
        <w:rPr>
          <w:rFonts w:eastAsia="Calibri"/>
          <w:color w:val="000000"/>
        </w:rPr>
      </w:pPr>
      <w:r w:rsidRPr="00B81231">
        <w:rPr>
          <w:rFonts w:eastAsia="Calibri"/>
          <w:b/>
          <w:color w:val="000000"/>
        </w:rPr>
        <w:t>Afsharipour, Afra</w:t>
      </w:r>
      <w:r w:rsidRPr="00B81231">
        <w:rPr>
          <w:rFonts w:eastAsia="Calibri"/>
          <w:color w:val="000000"/>
        </w:rPr>
        <w:t xml:space="preserve">. Transforming the allocation of deal risk through reverse termination fees. 63 Vand. L. Rev. 1161-1240 (2010).  </w:t>
      </w:r>
    </w:p>
    <w:p w:rsidR="00B81231" w:rsidRPr="00B81231" w:rsidRDefault="00B81231" w:rsidP="00B81231">
      <w:pPr>
        <w:tabs>
          <w:tab w:val="left" w:pos="720"/>
        </w:tabs>
        <w:rPr>
          <w:rFonts w:eastAsia="Calibri"/>
          <w:color w:val="000000"/>
        </w:rPr>
      </w:pPr>
    </w:p>
    <w:p w:rsidR="00B81231" w:rsidRDefault="00B81231" w:rsidP="00B81231">
      <w:pPr>
        <w:tabs>
          <w:tab w:val="left" w:pos="720"/>
        </w:tabs>
        <w:rPr>
          <w:rFonts w:eastAsia="Calibri"/>
          <w:color w:val="000000"/>
        </w:rPr>
      </w:pPr>
      <w:r w:rsidRPr="00B81231">
        <w:rPr>
          <w:rFonts w:eastAsia="Calibri"/>
          <w:b/>
          <w:color w:val="000000"/>
        </w:rPr>
        <w:t>Choi, Stephen J.</w:t>
      </w:r>
      <w:r w:rsidRPr="00B81231">
        <w:rPr>
          <w:rFonts w:eastAsia="Calibri"/>
          <w:color w:val="000000"/>
        </w:rPr>
        <w:t xml:space="preserve"> Motions for lead plaintiff in securities class actions. 40 J. Legal Stud. 205-244 (2011).  </w:t>
      </w:r>
    </w:p>
    <w:p w:rsidR="00B81231" w:rsidRPr="00B81231" w:rsidRDefault="00B81231" w:rsidP="00B81231">
      <w:pPr>
        <w:tabs>
          <w:tab w:val="left" w:pos="720"/>
        </w:tabs>
        <w:rPr>
          <w:rFonts w:eastAsia="Calibri"/>
          <w:color w:val="000000"/>
        </w:rPr>
      </w:pPr>
    </w:p>
    <w:p w:rsidR="00B81231" w:rsidRDefault="00B81231" w:rsidP="00B81231">
      <w:pPr>
        <w:tabs>
          <w:tab w:val="left" w:pos="720"/>
        </w:tabs>
        <w:rPr>
          <w:rFonts w:eastAsia="Calibri"/>
          <w:color w:val="000000"/>
        </w:rPr>
      </w:pPr>
      <w:r w:rsidRPr="00B81231">
        <w:rPr>
          <w:rFonts w:eastAsia="Calibri"/>
          <w:b/>
          <w:color w:val="000000"/>
        </w:rPr>
        <w:t>Kahan, Marcel and Edward B. Rock</w:t>
      </w:r>
      <w:r w:rsidRPr="00B81231">
        <w:rPr>
          <w:rFonts w:eastAsia="Calibri"/>
          <w:color w:val="000000"/>
        </w:rPr>
        <w:t xml:space="preserve">. When the government is the controlling shareholder. 89 Tex. L. Rev. 1293-1364 (2011).  </w:t>
      </w:r>
    </w:p>
    <w:p w:rsidR="00B81231" w:rsidRPr="00B81231" w:rsidRDefault="00B81231" w:rsidP="00B81231">
      <w:pPr>
        <w:tabs>
          <w:tab w:val="left" w:pos="720"/>
        </w:tabs>
        <w:rPr>
          <w:rFonts w:eastAsia="Calibri"/>
          <w:color w:val="000000"/>
        </w:rPr>
      </w:pPr>
    </w:p>
    <w:p w:rsidR="00B81231" w:rsidRDefault="00B81231" w:rsidP="00B81231">
      <w:pPr>
        <w:tabs>
          <w:tab w:val="left" w:pos="720"/>
        </w:tabs>
        <w:rPr>
          <w:rFonts w:eastAsia="Calibri"/>
          <w:color w:val="000000"/>
        </w:rPr>
      </w:pPr>
      <w:r w:rsidRPr="00B81231">
        <w:rPr>
          <w:rFonts w:eastAsia="Calibri"/>
          <w:b/>
          <w:color w:val="000000"/>
        </w:rPr>
        <w:t>Kahan, Marcel and Edward Rock</w:t>
      </w:r>
      <w:r w:rsidRPr="00B81231">
        <w:rPr>
          <w:rFonts w:eastAsia="Calibri"/>
          <w:color w:val="000000"/>
        </w:rPr>
        <w:t xml:space="preserve">. The insignificance of proxy access. 97 Va. L. Rev. 1347-1434 (2011).  </w:t>
      </w:r>
    </w:p>
    <w:p w:rsidR="00B81231" w:rsidRPr="00B81231" w:rsidRDefault="00B81231" w:rsidP="00B81231">
      <w:pPr>
        <w:tabs>
          <w:tab w:val="left" w:pos="720"/>
        </w:tabs>
        <w:rPr>
          <w:rFonts w:eastAsia="Calibri"/>
          <w:color w:val="000000"/>
        </w:rPr>
      </w:pPr>
    </w:p>
    <w:p w:rsidR="00B81231" w:rsidRDefault="00B81231" w:rsidP="00B81231">
      <w:pPr>
        <w:tabs>
          <w:tab w:val="left" w:pos="720"/>
        </w:tabs>
        <w:rPr>
          <w:rFonts w:eastAsia="Calibri"/>
          <w:color w:val="000000"/>
        </w:rPr>
      </w:pPr>
      <w:r w:rsidRPr="00B81231">
        <w:rPr>
          <w:rFonts w:eastAsia="Calibri"/>
          <w:b/>
          <w:color w:val="000000"/>
        </w:rPr>
        <w:t>Langevoort, Donald C.</w:t>
      </w:r>
      <w:r w:rsidRPr="00B81231">
        <w:rPr>
          <w:rFonts w:eastAsia="Calibri"/>
          <w:color w:val="000000"/>
        </w:rPr>
        <w:t xml:space="preserve"> Chasing the greased pig down Wall Street: a gatekeeper's guide to the psychology, culture, and ethics of financial risk taking. 96 Cornell L. Rev. 1209-1246 (2011).  </w:t>
      </w:r>
      <w:bookmarkStart w:id="0" w:name="_GoBack"/>
      <w:bookmarkEnd w:id="0"/>
    </w:p>
    <w:p w:rsidR="00B81231" w:rsidRPr="00B81231" w:rsidRDefault="00B81231" w:rsidP="00B81231">
      <w:pPr>
        <w:tabs>
          <w:tab w:val="left" w:pos="720"/>
        </w:tabs>
        <w:rPr>
          <w:rFonts w:eastAsia="Calibri"/>
          <w:color w:val="000000"/>
        </w:rPr>
      </w:pPr>
    </w:p>
    <w:p w:rsidR="00B81231" w:rsidRDefault="00B81231" w:rsidP="00B81231">
      <w:pPr>
        <w:tabs>
          <w:tab w:val="left" w:pos="720"/>
        </w:tabs>
        <w:rPr>
          <w:rFonts w:eastAsia="Calibri"/>
          <w:color w:val="000000"/>
        </w:rPr>
      </w:pPr>
      <w:r w:rsidRPr="00B81231">
        <w:rPr>
          <w:rFonts w:eastAsia="Calibri"/>
          <w:b/>
          <w:color w:val="000000"/>
        </w:rPr>
        <w:t>Nagy, Donna M.</w:t>
      </w:r>
      <w:r w:rsidRPr="00B81231">
        <w:rPr>
          <w:rFonts w:eastAsia="Calibri"/>
          <w:color w:val="000000"/>
        </w:rPr>
        <w:t xml:space="preserve"> Insider trading, congressional officials, and duties of entrustment. 91 B.U. L. Rev. 1105-1163 (2011).  </w:t>
      </w:r>
    </w:p>
    <w:p w:rsidR="00B81231" w:rsidRPr="00B81231" w:rsidRDefault="00B81231" w:rsidP="00B81231">
      <w:pPr>
        <w:tabs>
          <w:tab w:val="left" w:pos="720"/>
        </w:tabs>
        <w:rPr>
          <w:rFonts w:eastAsia="Calibri"/>
          <w:color w:val="000000"/>
        </w:rPr>
      </w:pPr>
    </w:p>
    <w:p w:rsidR="00B81231" w:rsidRDefault="00B81231" w:rsidP="00B81231">
      <w:pPr>
        <w:tabs>
          <w:tab w:val="left" w:pos="720"/>
        </w:tabs>
        <w:rPr>
          <w:rFonts w:eastAsia="Calibri"/>
          <w:color w:val="000000"/>
        </w:rPr>
      </w:pPr>
      <w:r w:rsidRPr="00B81231">
        <w:rPr>
          <w:rFonts w:eastAsia="Calibri"/>
          <w:b/>
          <w:color w:val="000000"/>
        </w:rPr>
        <w:t>Sale, Hillary A.</w:t>
      </w:r>
      <w:r w:rsidRPr="00B81231">
        <w:rPr>
          <w:rFonts w:eastAsia="Calibri"/>
          <w:color w:val="000000"/>
        </w:rPr>
        <w:t xml:space="preserve"> The new "public" corporation. 74 Law &amp; Contemp. Probs. 137-148 (2011).  </w:t>
      </w:r>
    </w:p>
    <w:p w:rsidR="00B81231" w:rsidRPr="00B81231" w:rsidRDefault="00B81231" w:rsidP="00B81231">
      <w:pPr>
        <w:tabs>
          <w:tab w:val="left" w:pos="720"/>
        </w:tabs>
        <w:rPr>
          <w:rFonts w:eastAsia="Calibri"/>
          <w:color w:val="000000"/>
        </w:rPr>
      </w:pPr>
    </w:p>
    <w:p w:rsidR="00B81231" w:rsidRDefault="00B81231" w:rsidP="00B81231">
      <w:pPr>
        <w:tabs>
          <w:tab w:val="left" w:pos="720"/>
        </w:tabs>
        <w:rPr>
          <w:rFonts w:eastAsia="Calibri"/>
          <w:color w:val="000000"/>
        </w:rPr>
      </w:pPr>
      <w:r w:rsidRPr="00B81231">
        <w:rPr>
          <w:rFonts w:eastAsia="Calibri"/>
          <w:b/>
          <w:color w:val="000000"/>
        </w:rPr>
        <w:t>Thomas, Randall S. and Harwell Wells</w:t>
      </w:r>
      <w:r w:rsidRPr="00B81231">
        <w:rPr>
          <w:rFonts w:eastAsia="Calibri"/>
          <w:color w:val="000000"/>
        </w:rPr>
        <w:t>. Executive compensation in the courts: board capture, optimal contracting, and officers' fiduciary duties. 95 Minn. L. Rev. 846-903 (2011).</w:t>
      </w:r>
    </w:p>
    <w:p w:rsidR="00B81231" w:rsidRPr="00B81231" w:rsidRDefault="00B81231" w:rsidP="00B81231">
      <w:pPr>
        <w:tabs>
          <w:tab w:val="left" w:pos="720"/>
        </w:tabs>
        <w:rPr>
          <w:rFonts w:eastAsia="Calibri"/>
          <w:color w:val="000000"/>
        </w:rPr>
      </w:pPr>
    </w:p>
    <w:p w:rsidR="00B81231" w:rsidRDefault="00B81231" w:rsidP="00B81231">
      <w:pPr>
        <w:tabs>
          <w:tab w:val="left" w:pos="720"/>
        </w:tabs>
        <w:rPr>
          <w:rFonts w:eastAsia="Calibri"/>
          <w:color w:val="000000"/>
        </w:rPr>
      </w:pPr>
      <w:r w:rsidRPr="00B81231">
        <w:rPr>
          <w:rFonts w:eastAsia="Calibri"/>
          <w:b/>
          <w:color w:val="000000"/>
        </w:rPr>
        <w:t>Tuch, Andrew F.</w:t>
      </w:r>
      <w:r w:rsidRPr="00B81231">
        <w:rPr>
          <w:rFonts w:eastAsia="Calibri"/>
          <w:color w:val="000000"/>
        </w:rPr>
        <w:t xml:space="preserve"> Multiple gatekeepers. 96 Va. L. Rev. 1583-1672 (2010).  </w:t>
      </w:r>
    </w:p>
    <w:p w:rsidR="00B81231" w:rsidRPr="00B81231" w:rsidRDefault="00B81231" w:rsidP="00B81231">
      <w:pPr>
        <w:tabs>
          <w:tab w:val="left" w:pos="720"/>
        </w:tabs>
        <w:rPr>
          <w:rFonts w:eastAsia="Calibri"/>
          <w:color w:val="000000"/>
        </w:rPr>
      </w:pPr>
    </w:p>
    <w:p w:rsidR="00764889" w:rsidRPr="00B81231" w:rsidRDefault="00B81231" w:rsidP="00B81231">
      <w:pPr>
        <w:tabs>
          <w:tab w:val="left" w:pos="720"/>
        </w:tabs>
      </w:pPr>
      <w:r w:rsidRPr="00B81231">
        <w:rPr>
          <w:rFonts w:eastAsia="Calibri"/>
          <w:b/>
          <w:color w:val="000000"/>
        </w:rPr>
        <w:t>Whitehead, Charles K.</w:t>
      </w:r>
      <w:r w:rsidRPr="00B81231">
        <w:rPr>
          <w:rFonts w:eastAsia="Calibri"/>
          <w:color w:val="000000"/>
        </w:rPr>
        <w:t xml:space="preserve"> Destructive coordination. 96 Cornell L. Rev. 323-364 (2011).</w:t>
      </w:r>
    </w:p>
    <w:sectPr w:rsidR="00764889" w:rsidRPr="00B81231" w:rsidSect="007C5FC0">
      <w:pgSz w:w="12240" w:h="15840" w:code="1"/>
      <w:pgMar w:top="1296" w:right="1728" w:bottom="1296" w:left="1728" w:header="720" w:footer="14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98C" w:rsidRDefault="0080698C" w:rsidP="007C5FC0">
      <w:r>
        <w:separator/>
      </w:r>
    </w:p>
  </w:endnote>
  <w:endnote w:type="continuationSeparator" w:id="0">
    <w:p w:rsidR="0080698C" w:rsidRDefault="0080698C" w:rsidP="007C5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98C" w:rsidRDefault="0080698C" w:rsidP="007C5FC0">
      <w:r>
        <w:separator/>
      </w:r>
    </w:p>
  </w:footnote>
  <w:footnote w:type="continuationSeparator" w:id="0">
    <w:p w:rsidR="0080698C" w:rsidRDefault="0080698C" w:rsidP="007C5F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34724"/>
    <w:multiLevelType w:val="hybridMultilevel"/>
    <w:tmpl w:val="EF7E7A7C"/>
    <w:lvl w:ilvl="0" w:tplc="20329CA4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889"/>
    <w:rsid w:val="00015F30"/>
    <w:rsid w:val="00030FEB"/>
    <w:rsid w:val="001A0FFF"/>
    <w:rsid w:val="002C20BD"/>
    <w:rsid w:val="002D216F"/>
    <w:rsid w:val="00314394"/>
    <w:rsid w:val="003E004F"/>
    <w:rsid w:val="004049AA"/>
    <w:rsid w:val="00425664"/>
    <w:rsid w:val="004A70B5"/>
    <w:rsid w:val="005047E0"/>
    <w:rsid w:val="0051749F"/>
    <w:rsid w:val="0058393C"/>
    <w:rsid w:val="005875DA"/>
    <w:rsid w:val="005B0566"/>
    <w:rsid w:val="00643F6E"/>
    <w:rsid w:val="00680BB6"/>
    <w:rsid w:val="006903A0"/>
    <w:rsid w:val="006943A5"/>
    <w:rsid w:val="00697776"/>
    <w:rsid w:val="00764889"/>
    <w:rsid w:val="007658E1"/>
    <w:rsid w:val="007C5FC0"/>
    <w:rsid w:val="0080698C"/>
    <w:rsid w:val="00824B65"/>
    <w:rsid w:val="008B4698"/>
    <w:rsid w:val="008F7065"/>
    <w:rsid w:val="00993A16"/>
    <w:rsid w:val="009B57B9"/>
    <w:rsid w:val="00A231C3"/>
    <w:rsid w:val="00A235BD"/>
    <w:rsid w:val="00A83EDA"/>
    <w:rsid w:val="00A9416B"/>
    <w:rsid w:val="00AE0538"/>
    <w:rsid w:val="00B503B5"/>
    <w:rsid w:val="00B66EB4"/>
    <w:rsid w:val="00B81231"/>
    <w:rsid w:val="00BD5254"/>
    <w:rsid w:val="00C50376"/>
    <w:rsid w:val="00C96924"/>
    <w:rsid w:val="00CA2C2C"/>
    <w:rsid w:val="00CD1FDB"/>
    <w:rsid w:val="00CF15BB"/>
    <w:rsid w:val="00CF6DBF"/>
    <w:rsid w:val="00D811D3"/>
    <w:rsid w:val="00DD05D3"/>
    <w:rsid w:val="00DE5EBB"/>
    <w:rsid w:val="00ED63D0"/>
    <w:rsid w:val="00F00A68"/>
    <w:rsid w:val="00F962B4"/>
    <w:rsid w:val="00FD6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88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648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6488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76488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64889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764889"/>
    <w:pPr>
      <w:jc w:val="center"/>
    </w:pPr>
    <w:rPr>
      <w:b/>
      <w:bCs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764889"/>
    <w:rPr>
      <w:rFonts w:ascii="Times New Roman" w:eastAsia="Times New Roman" w:hAnsi="Times New Roman" w:cs="Times New Roman"/>
      <w:b/>
      <w:bCs/>
      <w:sz w:val="36"/>
      <w:szCs w:val="20"/>
    </w:rPr>
  </w:style>
  <w:style w:type="paragraph" w:customStyle="1" w:styleId="Articlenumbered">
    <w:name w:val="Article numbered"/>
    <w:basedOn w:val="PlainText"/>
    <w:qFormat/>
    <w:rsid w:val="00DD05D3"/>
    <w:pPr>
      <w:spacing w:after="240"/>
    </w:pPr>
    <w:rPr>
      <w:rFonts w:ascii="Times New Roman" w:hAnsi="Times New Roman" w:cs="Courier New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D05D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05D3"/>
    <w:rPr>
      <w:rFonts w:ascii="Consolas" w:eastAsia="Times New Roman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7C5F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5FC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D21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F15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88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648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6488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76488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64889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764889"/>
    <w:pPr>
      <w:jc w:val="center"/>
    </w:pPr>
    <w:rPr>
      <w:b/>
      <w:bCs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764889"/>
    <w:rPr>
      <w:rFonts w:ascii="Times New Roman" w:eastAsia="Times New Roman" w:hAnsi="Times New Roman" w:cs="Times New Roman"/>
      <w:b/>
      <w:bCs/>
      <w:sz w:val="36"/>
      <w:szCs w:val="20"/>
    </w:rPr>
  </w:style>
  <w:style w:type="paragraph" w:customStyle="1" w:styleId="Articlenumbered">
    <w:name w:val="Article numbered"/>
    <w:basedOn w:val="PlainText"/>
    <w:qFormat/>
    <w:rsid w:val="00DD05D3"/>
    <w:pPr>
      <w:spacing w:after="240"/>
    </w:pPr>
    <w:rPr>
      <w:rFonts w:ascii="Times New Roman" w:hAnsi="Times New Roman" w:cs="Courier New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D05D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05D3"/>
    <w:rPr>
      <w:rFonts w:ascii="Consolas" w:eastAsia="Times New Roman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7C5F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5FC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D21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F15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13912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76487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BBBBBB"/>
            <w:bottom w:val="single" w:sz="4" w:space="0" w:color="BBBBBB"/>
            <w:right w:val="single" w:sz="4" w:space="0" w:color="BBBBBB"/>
          </w:divBdr>
          <w:divsChild>
            <w:div w:id="109617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8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4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57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40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970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21826">
                                          <w:marLeft w:val="960"/>
                                          <w:marRight w:val="9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623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434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02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27A5C-3818-4543-9ACE-27E2080FA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Links>
    <vt:vector size="18" baseType="variant">
      <vt:variant>
        <vt:i4>8126590</vt:i4>
      </vt:variant>
      <vt:variant>
        <vt:i4>6</vt:i4>
      </vt:variant>
      <vt:variant>
        <vt:i4>0</vt:i4>
      </vt:variant>
      <vt:variant>
        <vt:i4>5</vt:i4>
      </vt:variant>
      <vt:variant>
        <vt:lpwstr>https://a.next.westlaw.com/Link/Document/FullText?findType=h&amp;pubNum=176284&amp;cite=0417983201&amp;originatingDoc=I169392de41f411df9b8c850332338889&amp;refType=RQ&amp;originationContext=document&amp;transitionType=DocumentItem&amp;contextData=(sc.Default)</vt:lpwstr>
      </vt:variant>
      <vt:variant>
        <vt:lpwstr/>
      </vt:variant>
      <vt:variant>
        <vt:i4>7536764</vt:i4>
      </vt:variant>
      <vt:variant>
        <vt:i4>3</vt:i4>
      </vt:variant>
      <vt:variant>
        <vt:i4>0</vt:i4>
      </vt:variant>
      <vt:variant>
        <vt:i4>5</vt:i4>
      </vt:variant>
      <vt:variant>
        <vt:lpwstr>https://a.next.westlaw.com/Link/Document/FullText?findType=h&amp;pubNum=176284&amp;cite=0249845901&amp;originatingDoc=I169392de41f411df9b8c850332338889&amp;refType=RQ&amp;originationContext=document&amp;transitionType=DocumentItem&amp;contextData=(sc.Default)</vt:lpwstr>
      </vt:variant>
      <vt:variant>
        <vt:lpwstr/>
      </vt:variant>
      <vt:variant>
        <vt:i4>7405687</vt:i4>
      </vt:variant>
      <vt:variant>
        <vt:i4>0</vt:i4>
      </vt:variant>
      <vt:variant>
        <vt:i4>0</vt:i4>
      </vt:variant>
      <vt:variant>
        <vt:i4>5</vt:i4>
      </vt:variant>
      <vt:variant>
        <vt:lpwstr>https://a.next.westlaw.com/Link/Document/FullText?findType=h&amp;pubNum=176284&amp;cite=0212704401&amp;originatingDoc=I169392de41f411df9b8c850332338889&amp;refType=RQ&amp;originationContext=document&amp;transitionType=DocumentItem&amp;contextData=(sc.Default)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stewarj1</dc:creator>
  <cp:lastModifiedBy>robert b thompson</cp:lastModifiedBy>
  <cp:revision>2</cp:revision>
  <cp:lastPrinted>2011-03-04T19:11:00Z</cp:lastPrinted>
  <dcterms:created xsi:type="dcterms:W3CDTF">2012-03-02T20:08:00Z</dcterms:created>
  <dcterms:modified xsi:type="dcterms:W3CDTF">2012-03-02T20:08:00Z</dcterms:modified>
</cp:coreProperties>
</file>