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89" w:rsidRDefault="00764889" w:rsidP="00764889">
      <w:pPr>
        <w:pStyle w:val="Title"/>
        <w:rPr>
          <w:sz w:val="32"/>
        </w:rPr>
      </w:pPr>
      <w:r>
        <w:rPr>
          <w:sz w:val="32"/>
        </w:rPr>
        <w:t>The Top 10 Corporate and Securities Articles of 20</w:t>
      </w:r>
      <w:r w:rsidR="00E95BAC">
        <w:rPr>
          <w:sz w:val="32"/>
        </w:rPr>
        <w:t>12</w:t>
      </w:r>
    </w:p>
    <w:p w:rsidR="00764889" w:rsidRDefault="00764889" w:rsidP="00764889">
      <w:pPr>
        <w:jc w:val="center"/>
        <w:rPr>
          <w:b/>
          <w:bCs/>
          <w:sz w:val="22"/>
        </w:rPr>
      </w:pPr>
    </w:p>
    <w:p w:rsidR="00764889" w:rsidRPr="00764889" w:rsidRDefault="00764889" w:rsidP="00764889">
      <w:pPr>
        <w:pStyle w:val="BodyText"/>
      </w:pPr>
      <w:r w:rsidRPr="00764889">
        <w:t xml:space="preserve">The </w:t>
      </w:r>
      <w:r w:rsidRPr="00764889">
        <w:rPr>
          <w:i/>
          <w:iCs/>
        </w:rPr>
        <w:t>Corporate Practice Commentator</w:t>
      </w:r>
      <w:r w:rsidRPr="00764889">
        <w:t xml:space="preserve"> is pleased to announce the results of its </w:t>
      </w:r>
      <w:r w:rsidR="00E95BAC">
        <w:t xml:space="preserve">nineteenth </w:t>
      </w:r>
      <w:r w:rsidRPr="00764889">
        <w:t xml:space="preserve">annual poll to select the ten best corporate and securities articles. </w:t>
      </w:r>
      <w:r>
        <w:t xml:space="preserve"> </w:t>
      </w:r>
      <w:r w:rsidRPr="00764889">
        <w:t>Teachers in corporate and securities law were asked to select the best corporate and securities articles from a list of articles published and index</w:t>
      </w:r>
      <w:r>
        <w:t xml:space="preserve">ed in legal journals during </w:t>
      </w:r>
      <w:r w:rsidR="00E95BAC">
        <w:t>2012</w:t>
      </w:r>
      <w:r w:rsidRPr="00764889">
        <w:t xml:space="preserve">. </w:t>
      </w:r>
      <w:r w:rsidR="00B66EB4">
        <w:t xml:space="preserve">  More than </w:t>
      </w:r>
      <w:r w:rsidR="003D6BDA" w:rsidRPr="003D6BDA">
        <w:t>55</w:t>
      </w:r>
      <w:r w:rsidR="00A235BD" w:rsidRPr="003D6BDA">
        <w:t>0</w:t>
      </w:r>
      <w:r w:rsidR="006943A5" w:rsidRPr="003D6BDA">
        <w:t xml:space="preserve"> </w:t>
      </w:r>
      <w:r w:rsidR="00B66EB4" w:rsidRPr="003D6BDA">
        <w:t>articles</w:t>
      </w:r>
      <w:r w:rsidR="00B66EB4">
        <w:t xml:space="preserve"> were on this year’s list. </w:t>
      </w:r>
      <w:r w:rsidRPr="00764889">
        <w:t xml:space="preserve"> Because of the vagaries of publication, indexing, and mailing,</w:t>
      </w:r>
      <w:r>
        <w:t xml:space="preserve"> some articles published in </w:t>
      </w:r>
      <w:r w:rsidR="00E95BAC">
        <w:t>2012</w:t>
      </w:r>
      <w:r w:rsidR="006943A5" w:rsidRPr="00764889">
        <w:t xml:space="preserve"> </w:t>
      </w:r>
      <w:r w:rsidRPr="00764889">
        <w:t xml:space="preserve">have a </w:t>
      </w:r>
      <w:r w:rsidR="00E95BAC">
        <w:t>2011</w:t>
      </w:r>
      <w:r w:rsidR="006943A5" w:rsidRPr="00764889">
        <w:t xml:space="preserve"> </w:t>
      </w:r>
      <w:r w:rsidRPr="00764889">
        <w:t xml:space="preserve">date, </w:t>
      </w:r>
      <w:bookmarkStart w:id="0" w:name="_GoBack"/>
      <w:bookmarkEnd w:id="0"/>
      <w:r w:rsidRPr="00764889">
        <w:t xml:space="preserve">and not all articles containing a </w:t>
      </w:r>
      <w:r w:rsidR="00E95BAC">
        <w:t>2012</w:t>
      </w:r>
      <w:r w:rsidR="006943A5" w:rsidRPr="00764889">
        <w:t xml:space="preserve"> </w:t>
      </w:r>
      <w:r w:rsidRPr="00764889">
        <w:t>date were published and indexed in time to be included in this year’s list.</w:t>
      </w:r>
      <w:r w:rsidR="006943A5">
        <w:t xml:space="preserve"> </w:t>
      </w:r>
      <w:r w:rsidR="003312CA">
        <w:t>Because of a tie there are eleven articles on this year’s list.</w:t>
      </w:r>
    </w:p>
    <w:p w:rsidR="00764889" w:rsidRPr="00764889" w:rsidRDefault="00764889" w:rsidP="00764889">
      <w:pPr>
        <w:tabs>
          <w:tab w:val="left" w:pos="720"/>
        </w:tabs>
      </w:pPr>
    </w:p>
    <w:p w:rsidR="002D216F" w:rsidRDefault="00764889" w:rsidP="002D216F">
      <w:pPr>
        <w:tabs>
          <w:tab w:val="left" w:pos="720"/>
        </w:tabs>
      </w:pPr>
      <w:r w:rsidRPr="00764889">
        <w:t>The articles, listed in alphabetical order of the initial author, are:</w:t>
      </w:r>
    </w:p>
    <w:p w:rsidR="002D216F" w:rsidRDefault="002D216F" w:rsidP="002D216F">
      <w:pPr>
        <w:pStyle w:val="Default"/>
      </w:pPr>
    </w:p>
    <w:p w:rsidR="00822EC6" w:rsidRDefault="00822EC6" w:rsidP="00822EC6">
      <w:pPr>
        <w:pStyle w:val="Default"/>
      </w:pPr>
      <w:r w:rsidRPr="0065332E">
        <w:rPr>
          <w:b/>
        </w:rPr>
        <w:t>Armour, John, Bernard Black and Brian Cheffins</w:t>
      </w:r>
      <w:r w:rsidRPr="0065332E">
        <w:t xml:space="preserve">. Delaware's balancing act. 87 Ind. L.J. 1345-1405 (2012).  </w:t>
      </w:r>
    </w:p>
    <w:p w:rsidR="00822EC6" w:rsidRPr="0065332E" w:rsidRDefault="00822EC6" w:rsidP="00822EC6">
      <w:pPr>
        <w:pStyle w:val="Default"/>
      </w:pPr>
    </w:p>
    <w:p w:rsidR="00822EC6" w:rsidRDefault="00822EC6" w:rsidP="00822EC6">
      <w:pPr>
        <w:pStyle w:val="Default"/>
      </w:pPr>
      <w:r w:rsidRPr="000072F9">
        <w:rPr>
          <w:b/>
        </w:rPr>
        <w:t>Bar-Gill, Oren and Ryan Bubb</w:t>
      </w:r>
      <w:r w:rsidRPr="000072F9">
        <w:t xml:space="preserve">. Credit card pricing: the CARD Act and beyond. 97 Cornell L. Rev. 967-1018 (2012).  </w:t>
      </w:r>
    </w:p>
    <w:p w:rsidR="00822EC6" w:rsidRPr="000072F9" w:rsidRDefault="00822EC6" w:rsidP="00822EC6">
      <w:pPr>
        <w:pStyle w:val="Default"/>
      </w:pPr>
    </w:p>
    <w:p w:rsidR="00822EC6" w:rsidRPr="00AD494D" w:rsidRDefault="00822EC6" w:rsidP="00822EC6">
      <w:pPr>
        <w:pStyle w:val="Default"/>
      </w:pPr>
      <w:r w:rsidRPr="00AD494D">
        <w:rPr>
          <w:b/>
        </w:rPr>
        <w:t>Bartlett, Robert P., III</w:t>
      </w:r>
      <w:r w:rsidRPr="00AD494D">
        <w:t xml:space="preserve">. Making banks transparent. 65 Vand. L. Rev. 293-386 (2012).  </w:t>
      </w:r>
    </w:p>
    <w:p w:rsidR="00822EC6" w:rsidRDefault="00822EC6" w:rsidP="00E95BAC">
      <w:pPr>
        <w:pStyle w:val="Default"/>
        <w:rPr>
          <w:b/>
        </w:rPr>
      </w:pPr>
    </w:p>
    <w:p w:rsidR="00822EC6" w:rsidRDefault="00822EC6" w:rsidP="00822EC6">
      <w:pPr>
        <w:pStyle w:val="Default"/>
      </w:pPr>
      <w:r w:rsidRPr="003D6BDA">
        <w:rPr>
          <w:b/>
        </w:rPr>
        <w:t>Barzuza, Michal</w:t>
      </w:r>
      <w:r w:rsidRPr="000072F9">
        <w:t xml:space="preserve">. Market segmentation: the rise of Nevada as a liability-free jurisdiction. 98 Va. L. Rev. 935-1000 (2012).  </w:t>
      </w:r>
    </w:p>
    <w:p w:rsidR="00822EC6" w:rsidRDefault="00822EC6" w:rsidP="00822EC6">
      <w:pPr>
        <w:pStyle w:val="Default"/>
      </w:pPr>
    </w:p>
    <w:p w:rsidR="00E95BAC" w:rsidRDefault="00E95BAC" w:rsidP="00E95BAC">
      <w:pPr>
        <w:pStyle w:val="Default"/>
      </w:pPr>
      <w:r w:rsidRPr="00E95BAC">
        <w:rPr>
          <w:b/>
        </w:rPr>
        <w:t>Bratton, William W. and Michael L. Wachter</w:t>
      </w:r>
      <w:r w:rsidRPr="00E95BAC">
        <w:t xml:space="preserve">. The political economy of fraud on the market. 160 U. Pa. L. Rev. 69-168 (2011).  </w:t>
      </w:r>
    </w:p>
    <w:p w:rsidR="00516F3F" w:rsidRDefault="00516F3F" w:rsidP="00E95BAC">
      <w:pPr>
        <w:pStyle w:val="Default"/>
      </w:pPr>
    </w:p>
    <w:p w:rsidR="00516F3F" w:rsidRPr="00516F3F" w:rsidRDefault="00516F3F" w:rsidP="00516F3F">
      <w:pPr>
        <w:pStyle w:val="Default"/>
      </w:pPr>
      <w:r w:rsidRPr="00516F3F">
        <w:rPr>
          <w:b/>
        </w:rPr>
        <w:t>Cain, Matthew D. and Steven M. Davidoff</w:t>
      </w:r>
      <w:r w:rsidRPr="00516F3F">
        <w:t xml:space="preserve">. Delaware's competitive reach. 9 J. Empirical Legal Stud. 92-128 (2012).  </w:t>
      </w:r>
    </w:p>
    <w:p w:rsidR="00822EC6" w:rsidRDefault="00822EC6" w:rsidP="00822EC6">
      <w:pPr>
        <w:pStyle w:val="Default"/>
        <w:rPr>
          <w:b/>
        </w:rPr>
      </w:pPr>
    </w:p>
    <w:p w:rsidR="00822EC6" w:rsidRPr="0065332E" w:rsidRDefault="00822EC6" w:rsidP="00822EC6">
      <w:pPr>
        <w:pStyle w:val="Default"/>
      </w:pPr>
      <w:r w:rsidRPr="0065332E">
        <w:rPr>
          <w:b/>
        </w:rPr>
        <w:t>Cheffins, Brian, John Armour and Bernard Black</w:t>
      </w:r>
      <w:r w:rsidRPr="0065332E">
        <w:t xml:space="preserve">. Delaware corporate litigation and the fragmentation of the plaintiffs' bar. 2012 Colum. Bus. L. Rev. 427-501.  </w:t>
      </w:r>
    </w:p>
    <w:p w:rsidR="00E95BAC" w:rsidRDefault="00E95BAC" w:rsidP="00E95BAC">
      <w:pPr>
        <w:pStyle w:val="Default"/>
      </w:pPr>
    </w:p>
    <w:p w:rsidR="00AD494D" w:rsidRPr="00AD494D" w:rsidRDefault="00AD494D" w:rsidP="00AD494D">
      <w:pPr>
        <w:pStyle w:val="Default"/>
      </w:pPr>
      <w:r w:rsidRPr="00AD494D">
        <w:rPr>
          <w:b/>
        </w:rPr>
        <w:t>Fisch, Jill E.</w:t>
      </w:r>
      <w:r w:rsidRPr="00AD494D">
        <w:t xml:space="preserve"> The destructive ambiguity of federal proxy access. 61 Emory L.J. 435-500 (2012).  </w:t>
      </w:r>
    </w:p>
    <w:p w:rsidR="00AD494D" w:rsidRDefault="00AD494D" w:rsidP="00E95BAC">
      <w:pPr>
        <w:pStyle w:val="Default"/>
      </w:pPr>
    </w:p>
    <w:p w:rsidR="00AD494D" w:rsidRPr="00AD494D" w:rsidRDefault="00AD494D" w:rsidP="00AD494D">
      <w:pPr>
        <w:pStyle w:val="Default"/>
      </w:pPr>
      <w:r w:rsidRPr="00AD494D">
        <w:rPr>
          <w:b/>
        </w:rPr>
        <w:t>Rock, Edward B.</w:t>
      </w:r>
      <w:r w:rsidRPr="00AD494D">
        <w:t xml:space="preserve"> Shareholder eugenics in the public corporation. 97 Cornell L. Rev. 849-906 (2012).  </w:t>
      </w:r>
    </w:p>
    <w:p w:rsidR="00AD494D" w:rsidRDefault="00AD494D" w:rsidP="00E95BAC">
      <w:pPr>
        <w:pStyle w:val="Default"/>
      </w:pPr>
    </w:p>
    <w:p w:rsidR="00822EC6" w:rsidRPr="003D6BDA" w:rsidRDefault="00822EC6" w:rsidP="00822EC6">
      <w:pPr>
        <w:pStyle w:val="Default"/>
      </w:pPr>
      <w:r w:rsidRPr="003D6BDA">
        <w:rPr>
          <w:b/>
        </w:rPr>
        <w:t>Squire, Richard</w:t>
      </w:r>
      <w:r w:rsidRPr="003D6BDA">
        <w:t xml:space="preserve">. How collective settlements camouflage the costs of shareholder lawsuits. 62 Duke L.J. 1-78 (2012).  </w:t>
      </w:r>
    </w:p>
    <w:p w:rsidR="003D6BDA" w:rsidRDefault="003D6BDA" w:rsidP="00E95BAC">
      <w:pPr>
        <w:pStyle w:val="Default"/>
      </w:pPr>
    </w:p>
    <w:p w:rsidR="003D6BDA" w:rsidRPr="003D6BDA" w:rsidRDefault="003D6BDA" w:rsidP="003D6BDA">
      <w:pPr>
        <w:pStyle w:val="Default"/>
      </w:pPr>
      <w:r w:rsidRPr="003D6BDA">
        <w:rPr>
          <w:b/>
        </w:rPr>
        <w:t>Thomas, Randall S. and Robert B. Thompson</w:t>
      </w:r>
      <w:r w:rsidRPr="003D6BDA">
        <w:t>. A theory of representative shareholder suits and its application to multijurisdictional litigation. 106 Nw. U. L. Rev. 1753-1819 (2012).</w:t>
      </w:r>
    </w:p>
    <w:p w:rsidR="003D6BDA" w:rsidRDefault="003D6BDA" w:rsidP="00E95BAC">
      <w:pPr>
        <w:pStyle w:val="Default"/>
      </w:pPr>
    </w:p>
    <w:p w:rsidR="00764889" w:rsidRPr="00B81231" w:rsidRDefault="00764889" w:rsidP="00B81231">
      <w:pPr>
        <w:tabs>
          <w:tab w:val="left" w:pos="720"/>
        </w:tabs>
      </w:pPr>
    </w:p>
    <w:sectPr w:rsidR="00764889" w:rsidRPr="00B81231" w:rsidSect="007C5FC0">
      <w:pgSz w:w="12240" w:h="15840" w:code="1"/>
      <w:pgMar w:top="1296" w:right="1728" w:bottom="1296" w:left="1728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F9" w:rsidRDefault="000072F9" w:rsidP="007C5FC0">
      <w:r>
        <w:separator/>
      </w:r>
    </w:p>
  </w:endnote>
  <w:endnote w:type="continuationSeparator" w:id="0">
    <w:p w:rsidR="000072F9" w:rsidRDefault="000072F9" w:rsidP="007C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F9" w:rsidRDefault="000072F9" w:rsidP="007C5FC0">
      <w:r>
        <w:separator/>
      </w:r>
    </w:p>
  </w:footnote>
  <w:footnote w:type="continuationSeparator" w:id="0">
    <w:p w:rsidR="000072F9" w:rsidRDefault="000072F9" w:rsidP="007C5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4724"/>
    <w:multiLevelType w:val="hybridMultilevel"/>
    <w:tmpl w:val="EF7E7A7C"/>
    <w:lvl w:ilvl="0" w:tplc="20329CA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889"/>
    <w:rsid w:val="000072F9"/>
    <w:rsid w:val="00015F30"/>
    <w:rsid w:val="00030FEB"/>
    <w:rsid w:val="001A0FFF"/>
    <w:rsid w:val="002C20BD"/>
    <w:rsid w:val="002D216F"/>
    <w:rsid w:val="00314394"/>
    <w:rsid w:val="003312CA"/>
    <w:rsid w:val="00392333"/>
    <w:rsid w:val="003D6BDA"/>
    <w:rsid w:val="003E004F"/>
    <w:rsid w:val="004049AA"/>
    <w:rsid w:val="00425664"/>
    <w:rsid w:val="004A70B5"/>
    <w:rsid w:val="005047E0"/>
    <w:rsid w:val="00516F3F"/>
    <w:rsid w:val="0051749F"/>
    <w:rsid w:val="0058393C"/>
    <w:rsid w:val="005875DA"/>
    <w:rsid w:val="005B0566"/>
    <w:rsid w:val="00643F6E"/>
    <w:rsid w:val="0065332E"/>
    <w:rsid w:val="00680BB6"/>
    <w:rsid w:val="006903A0"/>
    <w:rsid w:val="006943A5"/>
    <w:rsid w:val="00697776"/>
    <w:rsid w:val="00764889"/>
    <w:rsid w:val="007658E1"/>
    <w:rsid w:val="007C5FC0"/>
    <w:rsid w:val="0080698C"/>
    <w:rsid w:val="00822EC6"/>
    <w:rsid w:val="00824B65"/>
    <w:rsid w:val="008B4698"/>
    <w:rsid w:val="008F7065"/>
    <w:rsid w:val="00993A16"/>
    <w:rsid w:val="009B57B9"/>
    <w:rsid w:val="00A231C3"/>
    <w:rsid w:val="00A235BD"/>
    <w:rsid w:val="00A83EDA"/>
    <w:rsid w:val="00A9416B"/>
    <w:rsid w:val="00AD494D"/>
    <w:rsid w:val="00AE0538"/>
    <w:rsid w:val="00B503B5"/>
    <w:rsid w:val="00B66EB4"/>
    <w:rsid w:val="00B81231"/>
    <w:rsid w:val="00BD5254"/>
    <w:rsid w:val="00C50376"/>
    <w:rsid w:val="00C96924"/>
    <w:rsid w:val="00CA2C2C"/>
    <w:rsid w:val="00CD1FDB"/>
    <w:rsid w:val="00CF15BB"/>
    <w:rsid w:val="00CF6DBF"/>
    <w:rsid w:val="00D811D3"/>
    <w:rsid w:val="00DD05D3"/>
    <w:rsid w:val="00DE5EBB"/>
    <w:rsid w:val="00E95BAC"/>
    <w:rsid w:val="00ED63D0"/>
    <w:rsid w:val="00F00A68"/>
    <w:rsid w:val="00F962B4"/>
    <w:rsid w:val="00FD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4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648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64889"/>
    <w:pPr>
      <w:jc w:val="center"/>
    </w:pPr>
    <w:rPr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64889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Articlenumbered">
    <w:name w:val="Article numbered"/>
    <w:basedOn w:val="PlainText"/>
    <w:qFormat/>
    <w:rsid w:val="00DD05D3"/>
    <w:pPr>
      <w:spacing w:after="240"/>
    </w:pPr>
    <w:rPr>
      <w:rFonts w:ascii="Times New Roman" w:hAnsi="Times New Roman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05D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05D3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C5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FC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1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4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648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64889"/>
    <w:pPr>
      <w:jc w:val="center"/>
    </w:pPr>
    <w:rPr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64889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Articlenumbered">
    <w:name w:val="Article numbered"/>
    <w:basedOn w:val="PlainText"/>
    <w:qFormat/>
    <w:rsid w:val="00DD05D3"/>
    <w:pPr>
      <w:spacing w:after="240"/>
    </w:pPr>
    <w:rPr>
      <w:rFonts w:ascii="Times New Roman" w:hAnsi="Times New Roman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05D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05D3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C5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FC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1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912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48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BBBBB"/>
            <w:bottom w:val="single" w:sz="4" w:space="0" w:color="BBBBBB"/>
            <w:right w:val="single" w:sz="4" w:space="0" w:color="BBBBBB"/>
          </w:divBdr>
          <w:divsChild>
            <w:div w:id="10961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21826">
                                          <w:marLeft w:val="96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2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6A20-FEDD-40C2-A075-3E188949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Links>
    <vt:vector size="18" baseType="variant"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https://a.next.westlaw.com/Link/Document/FullText?findType=h&amp;pubNum=176284&amp;cite=0417983201&amp;originatingDoc=I169392de41f411df9b8c850332338889&amp;refType=RQ&amp;originationContext=document&amp;transitionType=DocumentItem&amp;contextData=(sc.Default)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https://a.next.westlaw.com/Link/Document/FullText?findType=h&amp;pubNum=176284&amp;cite=0249845901&amp;originatingDoc=I169392de41f411df9b8c850332338889&amp;refType=RQ&amp;originationContext=document&amp;transitionType=DocumentItem&amp;contextData=(sc.Default)</vt:lpwstr>
      </vt:variant>
      <vt:variant>
        <vt:lpwstr/>
      </vt:variant>
      <vt:variant>
        <vt:i4>7405687</vt:i4>
      </vt:variant>
      <vt:variant>
        <vt:i4>0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https://a.next.westlaw.com/Link/Document/FullText?findType=h&amp;pubNum=176284&amp;cite=0212704401&amp;originatingDoc=I169392de41f411df9b8c850332338889&amp;refType=RQ&amp;originationContext=document&amp;transitionType=DocumentItem&amp;contextData=(sc.Default)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stewarj1</dc:creator>
  <cp:lastModifiedBy>robert b. thompson</cp:lastModifiedBy>
  <cp:revision>2</cp:revision>
  <cp:lastPrinted>2011-03-04T19:11:00Z</cp:lastPrinted>
  <dcterms:created xsi:type="dcterms:W3CDTF">2013-03-25T12:46:00Z</dcterms:created>
  <dcterms:modified xsi:type="dcterms:W3CDTF">2013-03-25T12:46:00Z</dcterms:modified>
</cp:coreProperties>
</file>