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89" w:rsidRDefault="00764889" w:rsidP="00764889">
      <w:pPr>
        <w:pStyle w:val="Title"/>
        <w:rPr>
          <w:sz w:val="32"/>
        </w:rPr>
      </w:pPr>
      <w:r>
        <w:rPr>
          <w:sz w:val="32"/>
        </w:rPr>
        <w:t>The Top 10 Corporate and Securities Articles of 20</w:t>
      </w:r>
      <w:r w:rsidR="001A3308">
        <w:rPr>
          <w:sz w:val="32"/>
        </w:rPr>
        <w:t>1</w:t>
      </w:r>
      <w:r w:rsidR="00052C38">
        <w:rPr>
          <w:sz w:val="32"/>
        </w:rPr>
        <w:t>5</w:t>
      </w:r>
    </w:p>
    <w:p w:rsidR="00764889" w:rsidRDefault="00764889" w:rsidP="00764889">
      <w:pPr>
        <w:jc w:val="center"/>
        <w:rPr>
          <w:b/>
          <w:bCs/>
          <w:sz w:val="22"/>
        </w:rPr>
      </w:pPr>
    </w:p>
    <w:p w:rsidR="00764889" w:rsidRPr="00764889" w:rsidRDefault="00764889" w:rsidP="00764889">
      <w:pPr>
        <w:pStyle w:val="BodyText"/>
      </w:pPr>
      <w:r w:rsidRPr="00764889">
        <w:t xml:space="preserve">The </w:t>
      </w:r>
      <w:r w:rsidRPr="00764889">
        <w:rPr>
          <w:i/>
          <w:iCs/>
        </w:rPr>
        <w:t>Corporate Practice Commentator</w:t>
      </w:r>
      <w:r w:rsidRPr="00764889">
        <w:t xml:space="preserve"> is pleased to announce the results of its </w:t>
      </w:r>
      <w:r w:rsidR="00F670B1">
        <w:t>twenty-</w:t>
      </w:r>
      <w:r w:rsidR="00052C38">
        <w:t>second</w:t>
      </w:r>
      <w:r w:rsidR="00F670B1">
        <w:t xml:space="preserve"> </w:t>
      </w:r>
      <w:r w:rsidRPr="00764889">
        <w:t xml:space="preserve">annual poll to select the ten best corporate and securities articles. </w:t>
      </w:r>
      <w:r>
        <w:t xml:space="preserve"> </w:t>
      </w:r>
      <w:r w:rsidRPr="00764889">
        <w:t>Teachers in corporate and securities law were asked to select the best corporate and securities articles from a list of articles published and index</w:t>
      </w:r>
      <w:r>
        <w:t xml:space="preserve">ed in legal journals during </w:t>
      </w:r>
      <w:r w:rsidR="00064D02">
        <w:t>201</w:t>
      </w:r>
      <w:r w:rsidR="00052C38">
        <w:t>5</w:t>
      </w:r>
      <w:r w:rsidRPr="00764889">
        <w:t xml:space="preserve">. </w:t>
      </w:r>
      <w:r w:rsidR="00B66EB4">
        <w:t xml:space="preserve"> More than </w:t>
      </w:r>
      <w:r w:rsidR="003D6BDA" w:rsidRPr="003D6BDA">
        <w:t>5</w:t>
      </w:r>
      <w:r w:rsidR="00706DE2">
        <w:t>40</w:t>
      </w:r>
      <w:r w:rsidR="006943A5" w:rsidRPr="003D6BDA">
        <w:t xml:space="preserve"> </w:t>
      </w:r>
      <w:r w:rsidR="00B66EB4" w:rsidRPr="003D6BDA">
        <w:t>articles</w:t>
      </w:r>
      <w:r w:rsidR="00B66EB4">
        <w:t xml:space="preserve"> were on this year’s list. </w:t>
      </w:r>
      <w:r w:rsidRPr="00764889">
        <w:t xml:space="preserve"> Because of the vagaries of publication, indexing, and mailing,</w:t>
      </w:r>
      <w:r>
        <w:t xml:space="preserve"> some articles published in </w:t>
      </w:r>
      <w:r w:rsidR="00064D02">
        <w:t>201</w:t>
      </w:r>
      <w:r w:rsidR="00052C38">
        <w:t>5</w:t>
      </w:r>
      <w:r w:rsidR="006943A5" w:rsidRPr="00764889">
        <w:t xml:space="preserve"> </w:t>
      </w:r>
      <w:r w:rsidRPr="00764889">
        <w:t xml:space="preserve">have a </w:t>
      </w:r>
      <w:r w:rsidR="00E95BAC">
        <w:t>201</w:t>
      </w:r>
      <w:r w:rsidR="00052C38">
        <w:t>4</w:t>
      </w:r>
      <w:r w:rsidR="006943A5" w:rsidRPr="00764889">
        <w:t xml:space="preserve"> </w:t>
      </w:r>
      <w:r w:rsidRPr="00764889">
        <w:t xml:space="preserve">date, and not all articles containing a </w:t>
      </w:r>
      <w:r w:rsidR="00E95BAC">
        <w:t>201</w:t>
      </w:r>
      <w:r w:rsidR="00052C38">
        <w:t>5</w:t>
      </w:r>
      <w:r w:rsidR="006943A5" w:rsidRPr="00764889">
        <w:t xml:space="preserve"> </w:t>
      </w:r>
      <w:r w:rsidRPr="00764889">
        <w:t>date were published and indexed in time to be included in this year’s list.</w:t>
      </w:r>
      <w:r w:rsidR="006943A5">
        <w:t xml:space="preserve"> </w:t>
      </w:r>
      <w:r w:rsidR="00052C38">
        <w:t xml:space="preserve"> Because of ties, there are </w:t>
      </w:r>
      <w:r w:rsidR="00994B72">
        <w:t>12</w:t>
      </w:r>
      <w:r w:rsidR="00052C38">
        <w:t xml:space="preserve"> articles on this year’s list.</w:t>
      </w:r>
    </w:p>
    <w:p w:rsidR="00764889" w:rsidRPr="00764889" w:rsidRDefault="00764889" w:rsidP="00764889">
      <w:pPr>
        <w:tabs>
          <w:tab w:val="left" w:pos="720"/>
        </w:tabs>
      </w:pPr>
    </w:p>
    <w:p w:rsidR="002D216F" w:rsidRDefault="00764889" w:rsidP="002D216F">
      <w:pPr>
        <w:tabs>
          <w:tab w:val="left" w:pos="720"/>
        </w:tabs>
      </w:pPr>
      <w:r w:rsidRPr="00764889">
        <w:t>The articles, listed in alphabetical order of the initial author, are:</w:t>
      </w:r>
    </w:p>
    <w:p w:rsidR="00EC12E6" w:rsidRDefault="00EC12E6" w:rsidP="002D216F">
      <w:pPr>
        <w:tabs>
          <w:tab w:val="left" w:pos="720"/>
        </w:tabs>
      </w:pP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Bartlett, Robert P. III</w:t>
      </w:r>
      <w:r w:rsidRPr="00EC12E6">
        <w:rPr>
          <w:rFonts w:eastAsia="Calibri"/>
          <w:color w:val="000000"/>
          <w:sz w:val="23"/>
          <w:szCs w:val="23"/>
        </w:rPr>
        <w:t xml:space="preserve">. Do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 xml:space="preserve">nstitutional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 xml:space="preserve">nvestors </w:t>
      </w:r>
      <w:r w:rsidR="00994B72">
        <w:rPr>
          <w:rFonts w:eastAsia="Calibri"/>
          <w:color w:val="000000"/>
          <w:sz w:val="23"/>
          <w:szCs w:val="23"/>
        </w:rPr>
        <w:t>V</w:t>
      </w:r>
      <w:r w:rsidRPr="00EC12E6">
        <w:rPr>
          <w:rFonts w:eastAsia="Calibri"/>
          <w:color w:val="000000"/>
          <w:sz w:val="23"/>
          <w:szCs w:val="23"/>
        </w:rPr>
        <w:t xml:space="preserve">alue the Rule 10b-5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 xml:space="preserve">rivate </w:t>
      </w:r>
      <w:r w:rsidR="00994B72">
        <w:rPr>
          <w:rFonts w:eastAsia="Calibri"/>
          <w:color w:val="000000"/>
          <w:sz w:val="23"/>
          <w:szCs w:val="23"/>
        </w:rPr>
        <w:t>R</w:t>
      </w:r>
      <w:r w:rsidRPr="00EC12E6">
        <w:rPr>
          <w:rFonts w:eastAsia="Calibri"/>
          <w:color w:val="000000"/>
          <w:sz w:val="23"/>
          <w:szCs w:val="23"/>
        </w:rPr>
        <w:t xml:space="preserve">ight of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ction? Evidence from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 xml:space="preserve">nvestors' </w:t>
      </w:r>
      <w:r w:rsidR="00994B72">
        <w:rPr>
          <w:rFonts w:eastAsia="Calibri"/>
          <w:color w:val="000000"/>
          <w:sz w:val="23"/>
          <w:szCs w:val="23"/>
        </w:rPr>
        <w:t>T</w:t>
      </w:r>
      <w:r w:rsidRPr="00EC12E6">
        <w:rPr>
          <w:rFonts w:eastAsia="Calibri"/>
          <w:color w:val="000000"/>
          <w:sz w:val="23"/>
          <w:szCs w:val="23"/>
        </w:rPr>
        <w:t xml:space="preserve">rading </w:t>
      </w:r>
      <w:r w:rsidR="00994B72">
        <w:rPr>
          <w:rFonts w:eastAsia="Calibri"/>
          <w:color w:val="000000"/>
          <w:sz w:val="23"/>
          <w:szCs w:val="23"/>
        </w:rPr>
        <w:t>B</w:t>
      </w:r>
      <w:r w:rsidRPr="00EC12E6">
        <w:rPr>
          <w:rFonts w:eastAsia="Calibri"/>
          <w:color w:val="000000"/>
          <w:sz w:val="23"/>
          <w:szCs w:val="23"/>
        </w:rPr>
        <w:t xml:space="preserve">ehavior following Morrison v. National Australia Bank Ltd. 44 J. Legal Stud. 183-227 (2015). </w:t>
      </w: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Bebchuk, Lucian, Alon Brav and Wei Jiang</w:t>
      </w:r>
      <w:r w:rsidRPr="00EC12E6">
        <w:rPr>
          <w:rFonts w:eastAsia="Calibri"/>
          <w:color w:val="000000"/>
          <w:sz w:val="23"/>
          <w:szCs w:val="23"/>
        </w:rPr>
        <w:t xml:space="preserve">. The </w:t>
      </w:r>
      <w:r w:rsidR="00994B72">
        <w:rPr>
          <w:rFonts w:eastAsia="Calibri"/>
          <w:color w:val="000000"/>
          <w:sz w:val="23"/>
          <w:szCs w:val="23"/>
        </w:rPr>
        <w:t>L</w:t>
      </w:r>
      <w:r w:rsidRPr="00EC12E6">
        <w:rPr>
          <w:rFonts w:eastAsia="Calibri"/>
          <w:color w:val="000000"/>
          <w:sz w:val="23"/>
          <w:szCs w:val="23"/>
        </w:rPr>
        <w:t xml:space="preserve">ong-term </w:t>
      </w:r>
      <w:r w:rsidR="00994B72">
        <w:rPr>
          <w:rFonts w:eastAsia="Calibri"/>
          <w:color w:val="000000"/>
          <w:sz w:val="23"/>
          <w:szCs w:val="23"/>
        </w:rPr>
        <w:t>E</w:t>
      </w:r>
      <w:r w:rsidRPr="00EC12E6">
        <w:rPr>
          <w:rFonts w:eastAsia="Calibri"/>
          <w:color w:val="000000"/>
          <w:sz w:val="23"/>
          <w:szCs w:val="23"/>
        </w:rPr>
        <w:t xml:space="preserve">ffects of </w:t>
      </w:r>
      <w:r w:rsidR="00994B72">
        <w:rPr>
          <w:rFonts w:eastAsia="Calibri"/>
          <w:color w:val="000000"/>
          <w:sz w:val="23"/>
          <w:szCs w:val="23"/>
        </w:rPr>
        <w:t>H</w:t>
      </w:r>
      <w:r w:rsidRPr="00EC12E6">
        <w:rPr>
          <w:rFonts w:eastAsia="Calibri"/>
          <w:color w:val="000000"/>
          <w:sz w:val="23"/>
          <w:szCs w:val="23"/>
        </w:rPr>
        <w:t xml:space="preserve">edge </w:t>
      </w:r>
      <w:r w:rsidR="00994B72">
        <w:rPr>
          <w:rFonts w:eastAsia="Calibri"/>
          <w:color w:val="000000"/>
          <w:sz w:val="23"/>
          <w:szCs w:val="23"/>
        </w:rPr>
        <w:t>F</w:t>
      </w:r>
      <w:r w:rsidRPr="00EC12E6">
        <w:rPr>
          <w:rFonts w:eastAsia="Calibri"/>
          <w:color w:val="000000"/>
          <w:sz w:val="23"/>
          <w:szCs w:val="23"/>
        </w:rPr>
        <w:t xml:space="preserve">und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ctivism. 115 Colum. L. Rev. 1085-1155 (2015). </w:t>
      </w:r>
    </w:p>
    <w:p w:rsidR="00994B72" w:rsidRDefault="00994B72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A422B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Bratton, William W. and Michael L. Wachter</w:t>
      </w:r>
      <w:r w:rsidRPr="00EC12E6">
        <w:rPr>
          <w:rFonts w:eastAsia="Calibri"/>
          <w:color w:val="000000"/>
          <w:sz w:val="23"/>
          <w:szCs w:val="23"/>
        </w:rPr>
        <w:t xml:space="preserve">. Bankers and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>hancellors. 93 Tex. L. Rev. 1-84 (2014</w:t>
      </w:r>
      <w:r w:rsidR="00FA422B">
        <w:rPr>
          <w:rFonts w:eastAsia="Calibri"/>
          <w:color w:val="000000"/>
          <w:sz w:val="23"/>
          <w:szCs w:val="23"/>
        </w:rPr>
        <w:t>).</w:t>
      </w:r>
    </w:p>
    <w:p w:rsidR="00FA422B" w:rsidRPr="00EC12E6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Cain, Matthew D. and Steven Davidoff Solomon</w:t>
      </w:r>
      <w:r w:rsidRPr="00EC12E6">
        <w:rPr>
          <w:rFonts w:eastAsia="Calibri"/>
          <w:color w:val="000000"/>
          <w:sz w:val="23"/>
          <w:szCs w:val="23"/>
        </w:rPr>
        <w:t xml:space="preserve">. A </w:t>
      </w:r>
      <w:r w:rsidR="00994B72">
        <w:rPr>
          <w:rFonts w:eastAsia="Calibri"/>
          <w:color w:val="000000"/>
          <w:sz w:val="23"/>
          <w:szCs w:val="23"/>
        </w:rPr>
        <w:t>G</w:t>
      </w:r>
      <w:r w:rsidRPr="00EC12E6">
        <w:rPr>
          <w:rFonts w:eastAsia="Calibri"/>
          <w:color w:val="000000"/>
          <w:sz w:val="23"/>
          <w:szCs w:val="23"/>
        </w:rPr>
        <w:t xml:space="preserve">reat </w:t>
      </w:r>
      <w:r w:rsidR="00994B72">
        <w:rPr>
          <w:rFonts w:eastAsia="Calibri"/>
          <w:color w:val="000000"/>
          <w:sz w:val="23"/>
          <w:szCs w:val="23"/>
        </w:rPr>
        <w:t>G</w:t>
      </w:r>
      <w:r w:rsidRPr="00EC12E6">
        <w:rPr>
          <w:rFonts w:eastAsia="Calibri"/>
          <w:color w:val="000000"/>
          <w:sz w:val="23"/>
          <w:szCs w:val="23"/>
        </w:rPr>
        <w:t xml:space="preserve">ame: </w:t>
      </w:r>
      <w:r w:rsidR="00994B72">
        <w:rPr>
          <w:rFonts w:eastAsia="Calibri"/>
          <w:color w:val="000000"/>
          <w:sz w:val="23"/>
          <w:szCs w:val="23"/>
        </w:rPr>
        <w:t>T</w:t>
      </w:r>
      <w:r w:rsidRPr="00EC12E6">
        <w:rPr>
          <w:rFonts w:eastAsia="Calibri"/>
          <w:color w:val="000000"/>
          <w:sz w:val="23"/>
          <w:szCs w:val="23"/>
        </w:rPr>
        <w:t xml:space="preserve">he </w:t>
      </w:r>
      <w:r w:rsidR="00994B72">
        <w:rPr>
          <w:rFonts w:eastAsia="Calibri"/>
          <w:color w:val="000000"/>
          <w:sz w:val="23"/>
          <w:szCs w:val="23"/>
        </w:rPr>
        <w:t>D</w:t>
      </w:r>
      <w:r w:rsidRPr="00EC12E6">
        <w:rPr>
          <w:rFonts w:eastAsia="Calibri"/>
          <w:color w:val="000000"/>
          <w:sz w:val="23"/>
          <w:szCs w:val="23"/>
        </w:rPr>
        <w:t xml:space="preserve">ynamics of </w:t>
      </w:r>
      <w:r w:rsidR="00994B72">
        <w:rPr>
          <w:rFonts w:eastAsia="Calibri"/>
          <w:color w:val="000000"/>
          <w:sz w:val="23"/>
          <w:szCs w:val="23"/>
        </w:rPr>
        <w:t>S</w:t>
      </w:r>
      <w:r w:rsidRPr="00EC12E6">
        <w:rPr>
          <w:rFonts w:eastAsia="Calibri"/>
          <w:color w:val="000000"/>
          <w:sz w:val="23"/>
          <w:szCs w:val="23"/>
        </w:rPr>
        <w:t xml:space="preserve">tate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ompetition and </w:t>
      </w:r>
      <w:r w:rsidR="00994B72">
        <w:rPr>
          <w:rFonts w:eastAsia="Calibri"/>
          <w:color w:val="000000"/>
          <w:sz w:val="23"/>
          <w:szCs w:val="23"/>
        </w:rPr>
        <w:t>L</w:t>
      </w:r>
      <w:r w:rsidRPr="00EC12E6">
        <w:rPr>
          <w:rFonts w:eastAsia="Calibri"/>
          <w:color w:val="000000"/>
          <w:sz w:val="23"/>
          <w:szCs w:val="23"/>
        </w:rPr>
        <w:t xml:space="preserve">itigation. 100 Iowa L. Rev. 465-500 (2015). </w:t>
      </w: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Casey, Anthony J.</w:t>
      </w:r>
      <w:r w:rsidRPr="00EC12E6">
        <w:rPr>
          <w:rFonts w:eastAsia="Calibri"/>
          <w:color w:val="000000"/>
          <w:sz w:val="23"/>
          <w:szCs w:val="23"/>
        </w:rPr>
        <w:t xml:space="preserve"> The </w:t>
      </w:r>
      <w:r w:rsidR="00994B72">
        <w:rPr>
          <w:rFonts w:eastAsia="Calibri"/>
          <w:color w:val="000000"/>
          <w:sz w:val="23"/>
          <w:szCs w:val="23"/>
        </w:rPr>
        <w:t>N</w:t>
      </w:r>
      <w:r w:rsidRPr="00EC12E6">
        <w:rPr>
          <w:rFonts w:eastAsia="Calibri"/>
          <w:color w:val="000000"/>
          <w:sz w:val="23"/>
          <w:szCs w:val="23"/>
        </w:rPr>
        <w:t xml:space="preserve">ew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orporate </w:t>
      </w:r>
      <w:r w:rsidR="00994B72">
        <w:rPr>
          <w:rFonts w:eastAsia="Calibri"/>
          <w:color w:val="000000"/>
          <w:sz w:val="23"/>
          <w:szCs w:val="23"/>
        </w:rPr>
        <w:t>W</w:t>
      </w:r>
      <w:r w:rsidRPr="00EC12E6">
        <w:rPr>
          <w:rFonts w:eastAsia="Calibri"/>
          <w:color w:val="000000"/>
          <w:sz w:val="23"/>
          <w:szCs w:val="23"/>
        </w:rPr>
        <w:t xml:space="preserve">eb: </w:t>
      </w:r>
      <w:r w:rsidR="00994B72">
        <w:rPr>
          <w:rFonts w:eastAsia="Calibri"/>
          <w:color w:val="000000"/>
          <w:sz w:val="23"/>
          <w:szCs w:val="23"/>
        </w:rPr>
        <w:t>T</w:t>
      </w:r>
      <w:r w:rsidRPr="00EC12E6">
        <w:rPr>
          <w:rFonts w:eastAsia="Calibri"/>
          <w:color w:val="000000"/>
          <w:sz w:val="23"/>
          <w:szCs w:val="23"/>
        </w:rPr>
        <w:t xml:space="preserve">ailored </w:t>
      </w:r>
      <w:r w:rsidR="00994B72">
        <w:rPr>
          <w:rFonts w:eastAsia="Calibri"/>
          <w:color w:val="000000"/>
          <w:sz w:val="23"/>
          <w:szCs w:val="23"/>
        </w:rPr>
        <w:t>E</w:t>
      </w:r>
      <w:r w:rsidRPr="00EC12E6">
        <w:rPr>
          <w:rFonts w:eastAsia="Calibri"/>
          <w:color w:val="000000"/>
          <w:sz w:val="23"/>
          <w:szCs w:val="23"/>
        </w:rPr>
        <w:t xml:space="preserve">ntity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 xml:space="preserve">artitions and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reditors' </w:t>
      </w:r>
      <w:r w:rsidR="00994B72">
        <w:rPr>
          <w:rFonts w:eastAsia="Calibri"/>
          <w:color w:val="000000"/>
          <w:sz w:val="23"/>
          <w:szCs w:val="23"/>
        </w:rPr>
        <w:t>S</w:t>
      </w:r>
      <w:r w:rsidRPr="00EC12E6">
        <w:rPr>
          <w:rFonts w:eastAsia="Calibri"/>
          <w:color w:val="000000"/>
          <w:sz w:val="23"/>
          <w:szCs w:val="23"/>
        </w:rPr>
        <w:t xml:space="preserve">elective </w:t>
      </w:r>
      <w:r w:rsidR="00994B72">
        <w:rPr>
          <w:rFonts w:eastAsia="Calibri"/>
          <w:color w:val="000000"/>
          <w:sz w:val="23"/>
          <w:szCs w:val="23"/>
        </w:rPr>
        <w:t>E</w:t>
      </w:r>
      <w:r w:rsidRPr="00EC12E6">
        <w:rPr>
          <w:rFonts w:eastAsia="Calibri"/>
          <w:color w:val="000000"/>
          <w:sz w:val="23"/>
          <w:szCs w:val="23"/>
        </w:rPr>
        <w:t>nforcement. 124 Yale L.</w:t>
      </w:r>
      <w:r w:rsidR="00994B72">
        <w:rPr>
          <w:rFonts w:eastAsia="Calibri"/>
          <w:color w:val="000000"/>
          <w:sz w:val="23"/>
          <w:szCs w:val="23"/>
        </w:rPr>
        <w:t xml:space="preserve"> </w:t>
      </w:r>
      <w:r w:rsidRPr="00EC12E6">
        <w:rPr>
          <w:rFonts w:eastAsia="Calibri"/>
          <w:color w:val="000000"/>
          <w:sz w:val="23"/>
          <w:szCs w:val="23"/>
        </w:rPr>
        <w:t xml:space="preserve">J. 2680-2744 (2015). </w:t>
      </w:r>
    </w:p>
    <w:p w:rsidR="00FA422B" w:rsidRPr="00EC12E6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Coates, John C. IV</w:t>
      </w:r>
      <w:r w:rsidRPr="00EC12E6">
        <w:rPr>
          <w:rFonts w:eastAsia="Calibri"/>
          <w:color w:val="000000"/>
          <w:sz w:val="23"/>
          <w:szCs w:val="23"/>
        </w:rPr>
        <w:t xml:space="preserve">. Cost-benefit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nalysis of </w:t>
      </w:r>
      <w:r w:rsidR="00994B72">
        <w:rPr>
          <w:rFonts w:eastAsia="Calibri"/>
          <w:color w:val="000000"/>
          <w:sz w:val="23"/>
          <w:szCs w:val="23"/>
        </w:rPr>
        <w:t>F</w:t>
      </w:r>
      <w:r w:rsidRPr="00EC12E6">
        <w:rPr>
          <w:rFonts w:eastAsia="Calibri"/>
          <w:color w:val="000000"/>
          <w:sz w:val="23"/>
          <w:szCs w:val="23"/>
        </w:rPr>
        <w:t xml:space="preserve">inancial </w:t>
      </w:r>
      <w:r w:rsidR="00994B72">
        <w:rPr>
          <w:rFonts w:eastAsia="Calibri"/>
          <w:color w:val="000000"/>
          <w:sz w:val="23"/>
          <w:szCs w:val="23"/>
        </w:rPr>
        <w:t>R</w:t>
      </w:r>
      <w:r w:rsidRPr="00EC12E6">
        <w:rPr>
          <w:rFonts w:eastAsia="Calibri"/>
          <w:color w:val="000000"/>
          <w:sz w:val="23"/>
          <w:szCs w:val="23"/>
        </w:rPr>
        <w:t xml:space="preserve">egulation: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ase </w:t>
      </w:r>
      <w:r w:rsidR="00C421CB">
        <w:rPr>
          <w:rFonts w:eastAsia="Calibri"/>
          <w:color w:val="000000"/>
          <w:sz w:val="23"/>
          <w:szCs w:val="23"/>
        </w:rPr>
        <w:t>S</w:t>
      </w:r>
      <w:r w:rsidRPr="00EC12E6">
        <w:rPr>
          <w:rFonts w:eastAsia="Calibri"/>
          <w:color w:val="000000"/>
          <w:sz w:val="23"/>
          <w:szCs w:val="23"/>
        </w:rPr>
        <w:t xml:space="preserve">tudies and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>mplications. 124 Yale L</w:t>
      </w:r>
      <w:r w:rsidR="00994B72">
        <w:rPr>
          <w:rFonts w:eastAsia="Calibri"/>
          <w:color w:val="000000"/>
          <w:sz w:val="23"/>
          <w:szCs w:val="23"/>
        </w:rPr>
        <w:t xml:space="preserve"> </w:t>
      </w:r>
      <w:r w:rsidRPr="00EC12E6">
        <w:rPr>
          <w:rFonts w:eastAsia="Calibri"/>
          <w:color w:val="000000"/>
          <w:sz w:val="23"/>
          <w:szCs w:val="23"/>
        </w:rPr>
        <w:t xml:space="preserve">.J. 882-1011 (2015). </w:t>
      </w: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EC12E6" w:rsidRP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Edelman, Paul H., Randall S. Thomas and Robert B. Thompson</w:t>
      </w:r>
      <w:r w:rsidRPr="00EC12E6">
        <w:rPr>
          <w:rFonts w:eastAsia="Calibri"/>
          <w:color w:val="000000"/>
          <w:sz w:val="23"/>
          <w:szCs w:val="23"/>
        </w:rPr>
        <w:t xml:space="preserve">. Shareholder </w:t>
      </w:r>
      <w:r w:rsidR="00994B72">
        <w:rPr>
          <w:rFonts w:eastAsia="Calibri"/>
          <w:color w:val="000000"/>
          <w:sz w:val="23"/>
          <w:szCs w:val="23"/>
        </w:rPr>
        <w:t>V</w:t>
      </w:r>
      <w:r w:rsidRPr="00EC12E6">
        <w:rPr>
          <w:rFonts w:eastAsia="Calibri"/>
          <w:color w:val="000000"/>
          <w:sz w:val="23"/>
          <w:szCs w:val="23"/>
        </w:rPr>
        <w:t xml:space="preserve">oting in an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ge of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 xml:space="preserve">ntermediary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apitalism. 87 S. Cal. L. Rev. 1359-1434 (2014). </w:t>
      </w:r>
    </w:p>
    <w:p w:rsidR="00EC12E6" w:rsidRP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Fisch, Jill E., Sean J. Griffith and Steven Davidoff Solomon</w:t>
      </w:r>
      <w:r w:rsidRPr="00EC12E6">
        <w:rPr>
          <w:rFonts w:eastAsia="Calibri"/>
          <w:color w:val="000000"/>
          <w:sz w:val="23"/>
          <w:szCs w:val="23"/>
        </w:rPr>
        <w:t xml:space="preserve">. Confronting the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 xml:space="preserve">eppercorn </w:t>
      </w:r>
      <w:r w:rsidR="00994B72">
        <w:rPr>
          <w:rFonts w:eastAsia="Calibri"/>
          <w:color w:val="000000"/>
          <w:sz w:val="23"/>
          <w:szCs w:val="23"/>
        </w:rPr>
        <w:t>S</w:t>
      </w:r>
      <w:r w:rsidRPr="00EC12E6">
        <w:rPr>
          <w:rFonts w:eastAsia="Calibri"/>
          <w:color w:val="000000"/>
          <w:sz w:val="23"/>
          <w:szCs w:val="23"/>
        </w:rPr>
        <w:t xml:space="preserve">ettlement in </w:t>
      </w:r>
      <w:r w:rsidR="00994B72">
        <w:rPr>
          <w:rFonts w:eastAsia="Calibri"/>
          <w:color w:val="000000"/>
          <w:sz w:val="23"/>
          <w:szCs w:val="23"/>
        </w:rPr>
        <w:t>M</w:t>
      </w:r>
      <w:r w:rsidRPr="00EC12E6">
        <w:rPr>
          <w:rFonts w:eastAsia="Calibri"/>
          <w:color w:val="000000"/>
          <w:sz w:val="23"/>
          <w:szCs w:val="23"/>
        </w:rPr>
        <w:t xml:space="preserve">erger </w:t>
      </w:r>
      <w:r w:rsidR="00994B72">
        <w:rPr>
          <w:rFonts w:eastAsia="Calibri"/>
          <w:color w:val="000000"/>
          <w:sz w:val="23"/>
          <w:szCs w:val="23"/>
        </w:rPr>
        <w:t>L</w:t>
      </w:r>
      <w:r w:rsidRPr="00EC12E6">
        <w:rPr>
          <w:rFonts w:eastAsia="Calibri"/>
          <w:color w:val="000000"/>
          <w:sz w:val="23"/>
          <w:szCs w:val="23"/>
        </w:rPr>
        <w:t xml:space="preserve">itigation: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n </w:t>
      </w:r>
      <w:r w:rsidR="00994B72">
        <w:rPr>
          <w:rFonts w:eastAsia="Calibri"/>
          <w:color w:val="000000"/>
          <w:sz w:val="23"/>
          <w:szCs w:val="23"/>
        </w:rPr>
        <w:t>E</w:t>
      </w:r>
      <w:r w:rsidRPr="00EC12E6">
        <w:rPr>
          <w:rFonts w:eastAsia="Calibri"/>
          <w:color w:val="000000"/>
          <w:sz w:val="23"/>
          <w:szCs w:val="23"/>
        </w:rPr>
        <w:t xml:space="preserve">mpirical </w:t>
      </w:r>
      <w:r w:rsidR="00994B72">
        <w:rPr>
          <w:rFonts w:eastAsia="Calibri"/>
          <w:color w:val="000000"/>
          <w:sz w:val="23"/>
          <w:szCs w:val="23"/>
        </w:rPr>
        <w:t>A</w:t>
      </w:r>
      <w:r w:rsidRPr="00EC12E6">
        <w:rPr>
          <w:rFonts w:eastAsia="Calibri"/>
          <w:color w:val="000000"/>
          <w:sz w:val="23"/>
          <w:szCs w:val="23"/>
        </w:rPr>
        <w:t xml:space="preserve">nalysis and a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 xml:space="preserve">roposal for </w:t>
      </w:r>
      <w:r w:rsidR="00994B72">
        <w:rPr>
          <w:rFonts w:eastAsia="Calibri"/>
          <w:color w:val="000000"/>
          <w:sz w:val="23"/>
          <w:szCs w:val="23"/>
        </w:rPr>
        <w:t>R</w:t>
      </w:r>
      <w:r w:rsidRPr="00EC12E6">
        <w:rPr>
          <w:rFonts w:eastAsia="Calibri"/>
          <w:color w:val="000000"/>
          <w:sz w:val="23"/>
          <w:szCs w:val="23"/>
        </w:rPr>
        <w:t xml:space="preserve">eform. 93 Tex. L. Rev. 557-624 (2015). </w:t>
      </w: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Fried, Jesse M.</w:t>
      </w:r>
      <w:r w:rsidRPr="00EC12E6">
        <w:rPr>
          <w:rFonts w:eastAsia="Calibri"/>
          <w:color w:val="000000"/>
          <w:sz w:val="23"/>
          <w:szCs w:val="23"/>
        </w:rPr>
        <w:t xml:space="preserve"> The </w:t>
      </w:r>
      <w:r w:rsidR="00994B72">
        <w:rPr>
          <w:rFonts w:eastAsia="Calibri"/>
          <w:color w:val="000000"/>
          <w:sz w:val="23"/>
          <w:szCs w:val="23"/>
        </w:rPr>
        <w:t>U</w:t>
      </w:r>
      <w:r w:rsidRPr="00EC12E6">
        <w:rPr>
          <w:rFonts w:eastAsia="Calibri"/>
          <w:color w:val="000000"/>
          <w:sz w:val="23"/>
          <w:szCs w:val="23"/>
        </w:rPr>
        <w:t xml:space="preserve">neasy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ase for </w:t>
      </w:r>
      <w:r w:rsidR="00994B72">
        <w:rPr>
          <w:rFonts w:eastAsia="Calibri"/>
          <w:color w:val="000000"/>
          <w:sz w:val="23"/>
          <w:szCs w:val="23"/>
        </w:rPr>
        <w:t>F</w:t>
      </w:r>
      <w:r w:rsidRPr="00EC12E6">
        <w:rPr>
          <w:rFonts w:eastAsia="Calibri"/>
          <w:color w:val="000000"/>
          <w:sz w:val="23"/>
          <w:szCs w:val="23"/>
        </w:rPr>
        <w:t xml:space="preserve">avoring </w:t>
      </w:r>
      <w:r w:rsidR="00994B72">
        <w:rPr>
          <w:rFonts w:eastAsia="Calibri"/>
          <w:color w:val="000000"/>
          <w:sz w:val="23"/>
          <w:szCs w:val="23"/>
        </w:rPr>
        <w:t>L</w:t>
      </w:r>
      <w:r w:rsidRPr="00EC12E6">
        <w:rPr>
          <w:rFonts w:eastAsia="Calibri"/>
          <w:color w:val="000000"/>
          <w:sz w:val="23"/>
          <w:szCs w:val="23"/>
        </w:rPr>
        <w:t xml:space="preserve">ong-term </w:t>
      </w:r>
      <w:r w:rsidR="00994B72">
        <w:rPr>
          <w:rFonts w:eastAsia="Calibri"/>
          <w:color w:val="000000"/>
          <w:sz w:val="23"/>
          <w:szCs w:val="23"/>
        </w:rPr>
        <w:t>S</w:t>
      </w:r>
      <w:r w:rsidRPr="00EC12E6">
        <w:rPr>
          <w:rFonts w:eastAsia="Calibri"/>
          <w:color w:val="000000"/>
          <w:sz w:val="23"/>
          <w:szCs w:val="23"/>
        </w:rPr>
        <w:t>hareholders. 124 Yale L.</w:t>
      </w:r>
      <w:r w:rsidR="00994B72">
        <w:rPr>
          <w:rFonts w:eastAsia="Calibri"/>
          <w:color w:val="000000"/>
          <w:sz w:val="23"/>
          <w:szCs w:val="23"/>
        </w:rPr>
        <w:t xml:space="preserve"> </w:t>
      </w:r>
      <w:r w:rsidRPr="00EC12E6">
        <w:rPr>
          <w:rFonts w:eastAsia="Calibri"/>
          <w:color w:val="000000"/>
          <w:sz w:val="23"/>
          <w:szCs w:val="23"/>
        </w:rPr>
        <w:t xml:space="preserve">J. 1554-1627 (2015). </w:t>
      </w:r>
    </w:p>
    <w:p w:rsidR="00EC12E6" w:rsidRP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C12E6" w:rsidRP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Judge, Kathryn.</w:t>
      </w:r>
      <w:r w:rsidRPr="00EC12E6">
        <w:rPr>
          <w:rFonts w:eastAsia="Calibri"/>
          <w:color w:val="000000"/>
          <w:sz w:val="23"/>
          <w:szCs w:val="23"/>
        </w:rPr>
        <w:t xml:space="preserve"> Intermediary </w:t>
      </w:r>
      <w:r w:rsidR="00994B72">
        <w:rPr>
          <w:rFonts w:eastAsia="Calibri"/>
          <w:color w:val="000000"/>
          <w:sz w:val="23"/>
          <w:szCs w:val="23"/>
        </w:rPr>
        <w:t>I</w:t>
      </w:r>
      <w:r w:rsidRPr="00EC12E6">
        <w:rPr>
          <w:rFonts w:eastAsia="Calibri"/>
          <w:color w:val="000000"/>
          <w:sz w:val="23"/>
          <w:szCs w:val="23"/>
        </w:rPr>
        <w:t xml:space="preserve">nfluence. 82 U. Chi. L. Rev. 573-642 (2015). </w:t>
      </w:r>
    </w:p>
    <w:p w:rsidR="00EC12E6" w:rsidRP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C12E6" w:rsidRDefault="00EC12E6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Kahan, Marcel and Edward Rock</w:t>
      </w:r>
      <w:r w:rsidRPr="00EC12E6">
        <w:rPr>
          <w:rFonts w:eastAsia="Calibri"/>
          <w:color w:val="000000"/>
          <w:sz w:val="23"/>
          <w:szCs w:val="23"/>
        </w:rPr>
        <w:t xml:space="preserve">. Symbolic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orporate </w:t>
      </w:r>
      <w:r w:rsidR="00994B72">
        <w:rPr>
          <w:rFonts w:eastAsia="Calibri"/>
          <w:color w:val="000000"/>
          <w:sz w:val="23"/>
          <w:szCs w:val="23"/>
        </w:rPr>
        <w:t>G</w:t>
      </w:r>
      <w:r w:rsidRPr="00EC12E6">
        <w:rPr>
          <w:rFonts w:eastAsia="Calibri"/>
          <w:color w:val="000000"/>
          <w:sz w:val="23"/>
          <w:szCs w:val="23"/>
        </w:rPr>
        <w:t xml:space="preserve">overnance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>olitics</w:t>
      </w:r>
      <w:r w:rsidR="00994B72">
        <w:rPr>
          <w:rFonts w:eastAsia="Calibri"/>
          <w:color w:val="000000"/>
          <w:sz w:val="23"/>
          <w:szCs w:val="23"/>
        </w:rPr>
        <w:t>.</w:t>
      </w:r>
      <w:r w:rsidRPr="00EC12E6">
        <w:rPr>
          <w:rFonts w:eastAsia="Calibri"/>
          <w:color w:val="000000"/>
          <w:sz w:val="23"/>
          <w:szCs w:val="23"/>
        </w:rPr>
        <w:t xml:space="preserve"> 94 B.U. L. Rev. 1997 (2014). </w:t>
      </w:r>
    </w:p>
    <w:p w:rsidR="00FA422B" w:rsidRPr="00994B72" w:rsidRDefault="00FA422B" w:rsidP="00FA422B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FA422B" w:rsidRDefault="00FA422B" w:rsidP="00FA422B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  <w:r w:rsidRPr="00994B72">
        <w:rPr>
          <w:rFonts w:eastAsia="Calibri"/>
          <w:b/>
          <w:color w:val="000000"/>
          <w:sz w:val="23"/>
          <w:szCs w:val="23"/>
        </w:rPr>
        <w:t>Velikonja, Urska.</w:t>
      </w:r>
      <w:r w:rsidRPr="00EC12E6">
        <w:rPr>
          <w:rFonts w:eastAsia="Calibri"/>
          <w:color w:val="000000"/>
          <w:sz w:val="23"/>
          <w:szCs w:val="23"/>
        </w:rPr>
        <w:t xml:space="preserve"> Public </w:t>
      </w:r>
      <w:r w:rsidR="00994B72">
        <w:rPr>
          <w:rFonts w:eastAsia="Calibri"/>
          <w:color w:val="000000"/>
          <w:sz w:val="23"/>
          <w:szCs w:val="23"/>
        </w:rPr>
        <w:t>C</w:t>
      </w:r>
      <w:r w:rsidRPr="00EC12E6">
        <w:rPr>
          <w:rFonts w:eastAsia="Calibri"/>
          <w:color w:val="000000"/>
          <w:sz w:val="23"/>
          <w:szCs w:val="23"/>
        </w:rPr>
        <w:t xml:space="preserve">ompensation for </w:t>
      </w:r>
      <w:r w:rsidR="00994B72">
        <w:rPr>
          <w:rFonts w:eastAsia="Calibri"/>
          <w:color w:val="000000"/>
          <w:sz w:val="23"/>
          <w:szCs w:val="23"/>
        </w:rPr>
        <w:t>P</w:t>
      </w:r>
      <w:r w:rsidRPr="00EC12E6">
        <w:rPr>
          <w:rFonts w:eastAsia="Calibri"/>
          <w:color w:val="000000"/>
          <w:sz w:val="23"/>
          <w:szCs w:val="23"/>
        </w:rPr>
        <w:t xml:space="preserve">rivate </w:t>
      </w:r>
      <w:r w:rsidR="00994B72">
        <w:rPr>
          <w:rFonts w:eastAsia="Calibri"/>
          <w:color w:val="000000"/>
          <w:sz w:val="23"/>
          <w:szCs w:val="23"/>
        </w:rPr>
        <w:t>H</w:t>
      </w:r>
      <w:r w:rsidRPr="00EC12E6">
        <w:rPr>
          <w:rFonts w:eastAsia="Calibri"/>
          <w:color w:val="000000"/>
          <w:sz w:val="23"/>
          <w:szCs w:val="23"/>
        </w:rPr>
        <w:t xml:space="preserve">arm: </w:t>
      </w:r>
      <w:r w:rsidR="00994B72">
        <w:rPr>
          <w:rFonts w:eastAsia="Calibri"/>
          <w:color w:val="000000"/>
          <w:sz w:val="23"/>
          <w:szCs w:val="23"/>
        </w:rPr>
        <w:t>E</w:t>
      </w:r>
      <w:r w:rsidRPr="00EC12E6">
        <w:rPr>
          <w:rFonts w:eastAsia="Calibri"/>
          <w:color w:val="000000"/>
          <w:sz w:val="23"/>
          <w:szCs w:val="23"/>
        </w:rPr>
        <w:t xml:space="preserve">vidence from the SEC's </w:t>
      </w:r>
      <w:r w:rsidR="00994B72">
        <w:rPr>
          <w:rFonts w:eastAsia="Calibri"/>
          <w:color w:val="000000"/>
          <w:sz w:val="23"/>
          <w:szCs w:val="23"/>
        </w:rPr>
        <w:t>F</w:t>
      </w:r>
      <w:r w:rsidRPr="00EC12E6">
        <w:rPr>
          <w:rFonts w:eastAsia="Calibri"/>
          <w:color w:val="000000"/>
          <w:sz w:val="23"/>
          <w:szCs w:val="23"/>
        </w:rPr>
        <w:t xml:space="preserve">air </w:t>
      </w:r>
      <w:r w:rsidR="00994B72">
        <w:rPr>
          <w:rFonts w:eastAsia="Calibri"/>
          <w:color w:val="000000"/>
          <w:sz w:val="23"/>
          <w:szCs w:val="23"/>
        </w:rPr>
        <w:t>F</w:t>
      </w:r>
      <w:r w:rsidRPr="00EC12E6">
        <w:rPr>
          <w:rFonts w:eastAsia="Calibri"/>
          <w:color w:val="000000"/>
          <w:sz w:val="23"/>
          <w:szCs w:val="23"/>
        </w:rPr>
        <w:t xml:space="preserve">und </w:t>
      </w:r>
      <w:r w:rsidR="00994B72">
        <w:rPr>
          <w:rFonts w:eastAsia="Calibri"/>
          <w:color w:val="000000"/>
          <w:sz w:val="23"/>
          <w:szCs w:val="23"/>
        </w:rPr>
        <w:t>D</w:t>
      </w:r>
      <w:r w:rsidRPr="00EC12E6">
        <w:rPr>
          <w:rFonts w:eastAsia="Calibri"/>
          <w:color w:val="000000"/>
          <w:sz w:val="23"/>
          <w:szCs w:val="23"/>
        </w:rPr>
        <w:t xml:space="preserve">istributions. 67 Stan. L. Rev. 331-395 (2015). </w:t>
      </w:r>
    </w:p>
    <w:p w:rsidR="00EC12E6" w:rsidRPr="00EC12E6" w:rsidRDefault="00EC12E6" w:rsidP="00EC12E6">
      <w:pPr>
        <w:autoSpaceDE w:val="0"/>
        <w:autoSpaceDN w:val="0"/>
        <w:adjustRightInd w:val="0"/>
        <w:rPr>
          <w:rFonts w:eastAsia="Calibri"/>
          <w:b/>
          <w:color w:val="000000"/>
          <w:sz w:val="23"/>
          <w:szCs w:val="23"/>
        </w:rPr>
      </w:pPr>
    </w:p>
    <w:p w:rsidR="00EC12E6" w:rsidRPr="00EC12E6" w:rsidRDefault="00EC12E6" w:rsidP="00EC12E6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F670B1" w:rsidRPr="00466659" w:rsidRDefault="00F670B1" w:rsidP="00B81231">
      <w:pPr>
        <w:tabs>
          <w:tab w:val="left" w:pos="720"/>
        </w:tabs>
      </w:pPr>
      <w:bookmarkStart w:id="0" w:name="_GoBack"/>
      <w:bookmarkEnd w:id="0"/>
    </w:p>
    <w:sectPr w:rsidR="00F670B1" w:rsidRPr="00466659" w:rsidSect="00EC12E6">
      <w:pgSz w:w="12240" w:h="15840" w:code="1"/>
      <w:pgMar w:top="1440" w:right="1080" w:bottom="144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C45" w:rsidRDefault="00C35C45" w:rsidP="007C5FC0">
      <w:r>
        <w:separator/>
      </w:r>
    </w:p>
  </w:endnote>
  <w:endnote w:type="continuationSeparator" w:id="0">
    <w:p w:rsidR="00C35C45" w:rsidRDefault="00C35C45" w:rsidP="007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C45" w:rsidRDefault="00C35C45" w:rsidP="007C5FC0">
      <w:r>
        <w:separator/>
      </w:r>
    </w:p>
  </w:footnote>
  <w:footnote w:type="continuationSeparator" w:id="0">
    <w:p w:rsidR="00C35C45" w:rsidRDefault="00C35C45" w:rsidP="007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34724"/>
    <w:multiLevelType w:val="hybridMultilevel"/>
    <w:tmpl w:val="EF7E7A7C"/>
    <w:lvl w:ilvl="0" w:tplc="20329CA4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889"/>
    <w:rsid w:val="000072F9"/>
    <w:rsid w:val="00015F30"/>
    <w:rsid w:val="00030FEB"/>
    <w:rsid w:val="00034DAD"/>
    <w:rsid w:val="00052C38"/>
    <w:rsid w:val="00064D02"/>
    <w:rsid w:val="0006641A"/>
    <w:rsid w:val="001164DA"/>
    <w:rsid w:val="001A0FFF"/>
    <w:rsid w:val="001A3308"/>
    <w:rsid w:val="001E787B"/>
    <w:rsid w:val="00247E41"/>
    <w:rsid w:val="002654E3"/>
    <w:rsid w:val="002C20BD"/>
    <w:rsid w:val="002D216F"/>
    <w:rsid w:val="00314394"/>
    <w:rsid w:val="003312CA"/>
    <w:rsid w:val="00392333"/>
    <w:rsid w:val="003D6BDA"/>
    <w:rsid w:val="003E004F"/>
    <w:rsid w:val="004049AA"/>
    <w:rsid w:val="00425664"/>
    <w:rsid w:val="00466659"/>
    <w:rsid w:val="004A70B5"/>
    <w:rsid w:val="005047E0"/>
    <w:rsid w:val="00516F3F"/>
    <w:rsid w:val="0051749F"/>
    <w:rsid w:val="00542044"/>
    <w:rsid w:val="0058393C"/>
    <w:rsid w:val="005875DA"/>
    <w:rsid w:val="005A3280"/>
    <w:rsid w:val="005B0566"/>
    <w:rsid w:val="005F7D1E"/>
    <w:rsid w:val="00630936"/>
    <w:rsid w:val="00643F6E"/>
    <w:rsid w:val="0065332E"/>
    <w:rsid w:val="00680BB6"/>
    <w:rsid w:val="006903A0"/>
    <w:rsid w:val="006943A5"/>
    <w:rsid w:val="00697776"/>
    <w:rsid w:val="006D2C20"/>
    <w:rsid w:val="00706DE2"/>
    <w:rsid w:val="00764889"/>
    <w:rsid w:val="007658E1"/>
    <w:rsid w:val="007C5FC0"/>
    <w:rsid w:val="0080698C"/>
    <w:rsid w:val="00820250"/>
    <w:rsid w:val="00822EC6"/>
    <w:rsid w:val="00824B65"/>
    <w:rsid w:val="008B4698"/>
    <w:rsid w:val="008F7065"/>
    <w:rsid w:val="00993A16"/>
    <w:rsid w:val="00994B72"/>
    <w:rsid w:val="009B57B9"/>
    <w:rsid w:val="00A231C3"/>
    <w:rsid w:val="00A235BD"/>
    <w:rsid w:val="00A83EDA"/>
    <w:rsid w:val="00A9416B"/>
    <w:rsid w:val="00AB3696"/>
    <w:rsid w:val="00AD494D"/>
    <w:rsid w:val="00AE0538"/>
    <w:rsid w:val="00B503B5"/>
    <w:rsid w:val="00B66EB4"/>
    <w:rsid w:val="00B81231"/>
    <w:rsid w:val="00BD5254"/>
    <w:rsid w:val="00C35C45"/>
    <w:rsid w:val="00C421CB"/>
    <w:rsid w:val="00C50376"/>
    <w:rsid w:val="00C87A29"/>
    <w:rsid w:val="00C96924"/>
    <w:rsid w:val="00CA2C2C"/>
    <w:rsid w:val="00CD1FDB"/>
    <w:rsid w:val="00CF15BB"/>
    <w:rsid w:val="00CF6DBF"/>
    <w:rsid w:val="00D756F2"/>
    <w:rsid w:val="00D811D3"/>
    <w:rsid w:val="00DD05D3"/>
    <w:rsid w:val="00DE5EBB"/>
    <w:rsid w:val="00E95BAC"/>
    <w:rsid w:val="00EC12E6"/>
    <w:rsid w:val="00ED63D0"/>
    <w:rsid w:val="00F00A68"/>
    <w:rsid w:val="00F670B1"/>
    <w:rsid w:val="00F7794B"/>
    <w:rsid w:val="00F962B4"/>
    <w:rsid w:val="00FA422B"/>
    <w:rsid w:val="00FD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38738E-4C75-485F-BD35-DC7F7FE2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8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48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6488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4889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64889"/>
    <w:pPr>
      <w:jc w:val="center"/>
    </w:pPr>
    <w:rPr>
      <w:b/>
      <w:bCs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764889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Articlenumbered">
    <w:name w:val="Article numbered"/>
    <w:basedOn w:val="PlainText"/>
    <w:qFormat/>
    <w:rsid w:val="00DD05D3"/>
    <w:pPr>
      <w:spacing w:after="240"/>
    </w:pPr>
    <w:rPr>
      <w:rFonts w:ascii="Times New Roman" w:hAnsi="Times New Roman" w:cs="Courier New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D05D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05D3"/>
    <w:rPr>
      <w:rFonts w:ascii="Consolas" w:eastAsia="Times New Roman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C5F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FC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D21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1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3912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7648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BBBBBB"/>
            <w:bottom w:val="single" w:sz="4" w:space="0" w:color="BBBBBB"/>
            <w:right w:val="single" w:sz="4" w:space="0" w:color="BBBBBB"/>
          </w:divBdr>
          <w:divsChild>
            <w:div w:id="10961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7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21826">
                                          <w:marLeft w:val="960"/>
                                          <w:marRight w:val="9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62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3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0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4AC84-81DA-437F-8232-FD5BA423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Links>
    <vt:vector size="18" baseType="variant">
      <vt:variant>
        <vt:i4>8126590</vt:i4>
      </vt:variant>
      <vt:variant>
        <vt:i4>6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https://a.next.westlaw.com/Link/Document/FullText?findType=h&amp;pubNum=176284&amp;cite=0417983201&amp;originatingDoc=I169392de41f411df9b8c850332338889&amp;refType=RQ&amp;originationContext=document&amp;transitionType=DocumentItem&amp;contextData=(sc.Default)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7536764</vt:i4>
      </vt:variant>
      <vt:variant>
        <vt:i4>3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https://a.next.westlaw.com/Link/Document/FullText?findType=h&amp;pubNum=176284&amp;cite=0249845901&amp;originatingDoc=I169392de41f411df9b8c850332338889&amp;refType=RQ&amp;originationContext=document&amp;transitionType=DocumentItem&amp;contextData=(sc.Default)</vt:lpwstr>
      </vt:variant>
      <vt:variant>
        <vt:lpwstr/>
      </vt:variant>
      <vt:variant>
        <vt:i4>7405687</vt:i4>
      </vt:variant>
      <vt:variant>
        <vt:i4>0</vt:i4>
      </vt:variant>
      <vt:variant>
        <vt:i4>0</vt:i4>
      </vt:variant>
      <vt:variant>
        <vt:i4>5</vt:i4>
      </vt:variant>
      <vt:variant>
        <vt:lpwstr>https://a.next.westlaw.com/Link/Document/FullText?findType=h&amp;pubNum=176284&amp;cite=0212704401&amp;originatingDoc=I169392de41f411df9b8c850332338889&amp;refType=RQ&amp;originationContext=document&amp;transitionType=DocumentItem&amp;contextData=(sc.Default)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stewarj1</dc:creator>
  <cp:lastModifiedBy>Elizabeth A Moulton</cp:lastModifiedBy>
  <cp:revision>2</cp:revision>
  <cp:lastPrinted>2015-03-18T18:18:00Z</cp:lastPrinted>
  <dcterms:created xsi:type="dcterms:W3CDTF">2017-04-29T11:23:00Z</dcterms:created>
  <dcterms:modified xsi:type="dcterms:W3CDTF">2017-04-29T11:23:00Z</dcterms:modified>
</cp:coreProperties>
</file>